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80" w:lineRule="auto"/>
        <w:jc w:val="center"/>
        <w:rPr>
          <w:rFonts w:ascii="仿宋" w:hAnsi="仿宋" w:eastAsia="仿宋" w:cs="仿宋"/>
          <w:b/>
          <w:sz w:val="24"/>
          <w:szCs w:val="24"/>
        </w:rPr>
      </w:pPr>
    </w:p>
    <w:p>
      <w:pPr>
        <w:spacing w:before="62" w:beforeLines="20" w:after="62" w:afterLines="20" w:line="480" w:lineRule="auto"/>
        <w:jc w:val="center"/>
        <w:rPr>
          <w:rFonts w:ascii="仿宋" w:hAnsi="仿宋" w:eastAsia="仿宋" w:cs="仿宋"/>
          <w:b/>
          <w:sz w:val="24"/>
          <w:szCs w:val="24"/>
        </w:rPr>
      </w:pPr>
    </w:p>
    <w:p>
      <w:pPr>
        <w:spacing w:before="62" w:beforeLines="20" w:after="62" w:afterLines="20" w:line="480" w:lineRule="auto"/>
        <w:jc w:val="center"/>
        <w:rPr>
          <w:rFonts w:ascii="仿宋" w:hAnsi="仿宋" w:eastAsia="仿宋" w:cs="仿宋"/>
          <w:b/>
          <w:sz w:val="24"/>
          <w:szCs w:val="24"/>
        </w:rPr>
      </w:pPr>
    </w:p>
    <w:p>
      <w:pPr>
        <w:spacing w:before="62" w:beforeLines="20" w:after="62" w:afterLines="20" w:line="480" w:lineRule="auto"/>
        <w:jc w:val="center"/>
        <w:rPr>
          <w:rFonts w:ascii="仿宋" w:hAnsi="仿宋" w:eastAsia="仿宋" w:cs="仿宋"/>
          <w:b/>
          <w:sz w:val="44"/>
          <w:szCs w:val="24"/>
        </w:rPr>
      </w:pPr>
      <w:r>
        <w:rPr>
          <w:rFonts w:hint="eastAsia" w:ascii="仿宋" w:hAnsi="仿宋" w:eastAsia="仿宋" w:cs="仿宋"/>
          <w:b/>
          <w:sz w:val="44"/>
          <w:szCs w:val="24"/>
        </w:rPr>
        <w:t>固态电池关键材料研发及中试验证项目</w:t>
      </w:r>
    </w:p>
    <w:p>
      <w:pPr>
        <w:spacing w:before="62" w:beforeLines="20" w:after="62" w:afterLines="20" w:line="480" w:lineRule="auto"/>
        <w:jc w:val="center"/>
        <w:rPr>
          <w:rFonts w:ascii="仿宋" w:hAnsi="仿宋" w:eastAsia="仿宋" w:cs="仿宋"/>
          <w:b/>
          <w:sz w:val="44"/>
          <w:szCs w:val="24"/>
        </w:rPr>
      </w:pPr>
      <w:r>
        <w:rPr>
          <w:rFonts w:hint="eastAsia" w:ascii="仿宋" w:hAnsi="仿宋" w:eastAsia="仿宋" w:cs="仿宋"/>
          <w:b/>
          <w:sz w:val="44"/>
          <w:szCs w:val="24"/>
        </w:rPr>
        <w:t>资金申请报告</w:t>
      </w:r>
    </w:p>
    <w:p>
      <w:pPr>
        <w:spacing w:before="62" w:beforeLines="20" w:after="62" w:afterLines="20" w:line="480" w:lineRule="auto"/>
        <w:jc w:val="center"/>
        <w:rPr>
          <w:rFonts w:ascii="仿宋" w:hAnsi="仿宋" w:eastAsia="仿宋" w:cs="仿宋"/>
          <w:b/>
          <w:sz w:val="44"/>
          <w:szCs w:val="24"/>
        </w:rPr>
      </w:pPr>
      <w:r>
        <w:rPr>
          <w:rFonts w:hint="eastAsia" w:ascii="仿宋" w:hAnsi="仿宋" w:eastAsia="仿宋" w:cs="仿宋"/>
          <w:b/>
          <w:sz w:val="44"/>
          <w:szCs w:val="24"/>
        </w:rPr>
        <w:t>招标文件</w:t>
      </w:r>
    </w:p>
    <w:p>
      <w:pPr>
        <w:spacing w:before="62" w:beforeLines="20" w:after="62" w:afterLines="20" w:line="360" w:lineRule="auto"/>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jc w:val="center"/>
        <w:rPr>
          <w:rFonts w:ascii="仿宋" w:hAnsi="仿宋" w:eastAsia="仿宋" w:cs="仿宋"/>
          <w:sz w:val="24"/>
          <w:szCs w:val="24"/>
        </w:rPr>
      </w:pPr>
    </w:p>
    <w:p>
      <w:pPr>
        <w:spacing w:before="62" w:beforeLines="20" w:after="62" w:afterLines="20" w:line="360" w:lineRule="auto"/>
        <w:rPr>
          <w:rFonts w:ascii="仿宋" w:hAnsi="仿宋" w:eastAsia="仿宋" w:cs="仿宋"/>
          <w:b/>
          <w:sz w:val="36"/>
          <w:szCs w:val="24"/>
        </w:rPr>
      </w:pPr>
      <w:r>
        <w:rPr>
          <w:rFonts w:hint="eastAsia" w:ascii="仿宋" w:hAnsi="仿宋" w:eastAsia="仿宋" w:cs="仿宋"/>
          <w:b/>
          <w:bCs/>
          <w:sz w:val="36"/>
          <w:szCs w:val="24"/>
        </w:rPr>
        <w:t>招标单位：国联汽车动力电池研究院有限责任公司</w:t>
      </w:r>
    </w:p>
    <w:p>
      <w:pPr>
        <w:spacing w:line="360" w:lineRule="auto"/>
        <w:rPr>
          <w:rFonts w:ascii="仿宋" w:hAnsi="仿宋" w:eastAsia="仿宋" w:cs="仿宋"/>
          <w:b/>
          <w:bCs/>
          <w:sz w:val="36"/>
          <w:szCs w:val="24"/>
        </w:rPr>
      </w:pPr>
      <w:r>
        <w:rPr>
          <w:rFonts w:hint="eastAsia" w:ascii="仿宋" w:hAnsi="仿宋" w:eastAsia="仿宋" w:cs="仿宋"/>
          <w:b/>
          <w:bCs/>
          <w:sz w:val="36"/>
          <w:szCs w:val="24"/>
        </w:rPr>
        <w:t>联系地址：北京市怀柔区兴科东大街11号</w:t>
      </w:r>
    </w:p>
    <w:p>
      <w:pPr>
        <w:spacing w:line="360" w:lineRule="auto"/>
        <w:rPr>
          <w:rFonts w:ascii="仿宋" w:hAnsi="仿宋" w:eastAsia="仿宋" w:cs="仿宋"/>
          <w:b/>
          <w:bCs/>
          <w:sz w:val="36"/>
          <w:szCs w:val="24"/>
        </w:rPr>
      </w:pPr>
      <w:r>
        <w:rPr>
          <w:rFonts w:hint="eastAsia" w:ascii="仿宋" w:hAnsi="仿宋" w:eastAsia="仿宋" w:cs="仿宋"/>
          <w:b/>
          <w:bCs/>
          <w:sz w:val="36"/>
          <w:szCs w:val="24"/>
        </w:rPr>
        <w:t>联系电话：010-60662916</w:t>
      </w:r>
    </w:p>
    <w:p>
      <w:pPr>
        <w:spacing w:before="62" w:beforeLines="20" w:after="62" w:afterLines="20" w:line="360" w:lineRule="auto"/>
        <w:rPr>
          <w:rFonts w:ascii="仿宋" w:hAnsi="仿宋" w:eastAsia="仿宋" w:cs="仿宋"/>
          <w:b/>
          <w:bCs/>
          <w:sz w:val="24"/>
          <w:szCs w:val="24"/>
        </w:rPr>
      </w:pPr>
    </w:p>
    <w:p>
      <w:pPr>
        <w:spacing w:before="62" w:beforeLines="20" w:after="62" w:afterLines="20" w:line="360" w:lineRule="auto"/>
        <w:rPr>
          <w:rFonts w:ascii="仿宋" w:hAnsi="仿宋" w:eastAsia="仿宋" w:cs="仿宋"/>
          <w:b/>
          <w:bCs/>
          <w:sz w:val="24"/>
          <w:szCs w:val="24"/>
        </w:rPr>
      </w:pPr>
    </w:p>
    <w:p>
      <w:pPr>
        <w:spacing w:before="62" w:beforeLines="20" w:after="62" w:afterLines="20" w:line="360" w:lineRule="auto"/>
        <w:rPr>
          <w:rFonts w:ascii="仿宋" w:hAnsi="仿宋" w:eastAsia="仿宋" w:cs="仿宋"/>
          <w:b/>
          <w:bCs/>
          <w:sz w:val="24"/>
          <w:szCs w:val="24"/>
        </w:rPr>
      </w:pPr>
    </w:p>
    <w:p>
      <w:pPr>
        <w:spacing w:before="62" w:beforeLines="20" w:after="62" w:afterLines="20" w:line="360" w:lineRule="auto"/>
        <w:rPr>
          <w:rFonts w:ascii="仿宋" w:hAnsi="仿宋" w:eastAsia="仿宋" w:cs="仿宋"/>
          <w:b/>
          <w:bCs/>
          <w:sz w:val="24"/>
          <w:szCs w:val="24"/>
        </w:rPr>
      </w:pPr>
    </w:p>
    <w:p>
      <w:pPr>
        <w:pStyle w:val="2"/>
        <w:framePr w:hSpace="0" w:vSpace="0" w:wrap="auto" w:vAnchor="margin" w:hAnchor="text" w:yAlign="inline"/>
        <w:rPr>
          <w:rFonts w:ascii="仿宋" w:hAnsi="仿宋" w:eastAsia="仿宋" w:cs="仿宋"/>
          <w:b/>
          <w:bCs/>
          <w:szCs w:val="24"/>
        </w:rPr>
      </w:pPr>
    </w:p>
    <w:p/>
    <w:p>
      <w:pPr>
        <w:pStyle w:val="2"/>
        <w:framePr w:hSpace="0" w:vSpace="0" w:wrap="auto" w:vAnchor="margin" w:hAnchor="text" w:yAlign="inline"/>
      </w:pPr>
    </w:p>
    <w:p>
      <w:pPr>
        <w:spacing w:before="62" w:beforeLines="20" w:after="62" w:afterLines="20" w:line="360" w:lineRule="auto"/>
        <w:jc w:val="center"/>
        <w:rPr>
          <w:rFonts w:ascii="仿宋" w:hAnsi="仿宋" w:eastAsia="仿宋" w:cs="仿宋"/>
          <w:b/>
          <w:bCs/>
          <w:sz w:val="36"/>
          <w:szCs w:val="24"/>
        </w:rPr>
      </w:pPr>
      <w:r>
        <w:rPr>
          <w:rFonts w:hint="eastAsia" w:ascii="仿宋" w:hAnsi="仿宋" w:eastAsia="仿宋" w:cs="仿宋"/>
          <w:b/>
          <w:bCs/>
          <w:sz w:val="36"/>
          <w:szCs w:val="24"/>
        </w:rPr>
        <w:t xml:space="preserve">目 </w:t>
      </w:r>
      <w:r>
        <w:rPr>
          <w:rFonts w:ascii="仿宋" w:hAnsi="仿宋" w:eastAsia="仿宋" w:cs="仿宋"/>
          <w:b/>
          <w:bCs/>
          <w:sz w:val="36"/>
          <w:szCs w:val="24"/>
        </w:rPr>
        <w:t xml:space="preserve">  </w:t>
      </w:r>
      <w:r>
        <w:rPr>
          <w:rFonts w:hint="eastAsia" w:ascii="仿宋" w:hAnsi="仿宋" w:eastAsia="仿宋" w:cs="仿宋"/>
          <w:b/>
          <w:bCs/>
          <w:sz w:val="36"/>
          <w:szCs w:val="24"/>
        </w:rPr>
        <w:t>录</w:t>
      </w:r>
    </w:p>
    <w:p>
      <w:pPr>
        <w:spacing w:before="62" w:beforeLines="20" w:after="62" w:afterLines="20" w:line="360" w:lineRule="auto"/>
        <w:rPr>
          <w:rFonts w:ascii="仿宋" w:hAnsi="仿宋" w:eastAsia="仿宋" w:cs="仿宋"/>
          <w:b/>
          <w:bCs/>
          <w:sz w:val="36"/>
          <w:szCs w:val="24"/>
        </w:rPr>
      </w:pPr>
    </w:p>
    <w:p>
      <w:pPr>
        <w:spacing w:line="960" w:lineRule="auto"/>
        <w:ind w:left="210" w:leftChars="100" w:firstLine="728" w:firstLineChars="200"/>
        <w:rPr>
          <w:rFonts w:ascii="仿宋" w:hAnsi="仿宋" w:eastAsia="仿宋" w:cs="仿宋"/>
          <w:bCs/>
          <w:spacing w:val="2"/>
          <w:sz w:val="36"/>
          <w:szCs w:val="24"/>
        </w:rPr>
      </w:pPr>
      <w:r>
        <w:rPr>
          <w:rFonts w:hint="eastAsia" w:ascii="仿宋" w:hAnsi="仿宋" w:eastAsia="仿宋" w:cs="仿宋"/>
          <w:bCs/>
          <w:spacing w:val="2"/>
          <w:sz w:val="36"/>
          <w:szCs w:val="24"/>
        </w:rPr>
        <w:t>第一部分：投标须知</w:t>
      </w:r>
    </w:p>
    <w:p>
      <w:pPr>
        <w:spacing w:line="960" w:lineRule="auto"/>
        <w:ind w:left="210" w:leftChars="100" w:firstLine="728" w:firstLineChars="200"/>
        <w:rPr>
          <w:rFonts w:ascii="仿宋" w:hAnsi="仿宋" w:eastAsia="仿宋" w:cs="仿宋"/>
          <w:bCs/>
          <w:spacing w:val="2"/>
          <w:sz w:val="36"/>
          <w:szCs w:val="24"/>
        </w:rPr>
      </w:pPr>
      <w:r>
        <w:rPr>
          <w:rFonts w:hint="eastAsia" w:ascii="仿宋" w:hAnsi="仿宋" w:eastAsia="仿宋" w:cs="仿宋"/>
          <w:bCs/>
          <w:spacing w:val="2"/>
          <w:sz w:val="36"/>
          <w:szCs w:val="24"/>
        </w:rPr>
        <w:t>第二部分：技术要求</w:t>
      </w:r>
    </w:p>
    <w:p>
      <w:pPr>
        <w:spacing w:line="960" w:lineRule="auto"/>
        <w:ind w:left="210" w:leftChars="100" w:firstLine="728" w:firstLineChars="200"/>
        <w:rPr>
          <w:rFonts w:ascii="仿宋" w:hAnsi="仿宋" w:eastAsia="仿宋" w:cs="仿宋"/>
          <w:bCs/>
          <w:spacing w:val="2"/>
          <w:sz w:val="36"/>
          <w:szCs w:val="24"/>
        </w:rPr>
      </w:pPr>
      <w:r>
        <w:rPr>
          <w:rFonts w:hint="eastAsia" w:ascii="仿宋" w:hAnsi="仿宋" w:eastAsia="仿宋" w:cs="仿宋"/>
          <w:bCs/>
          <w:spacing w:val="2"/>
          <w:sz w:val="36"/>
          <w:szCs w:val="24"/>
        </w:rPr>
        <w:t>第三部分：招标评标</w:t>
      </w:r>
      <w:r>
        <w:rPr>
          <w:rFonts w:ascii="仿宋" w:hAnsi="仿宋" w:eastAsia="仿宋" w:cs="仿宋"/>
          <w:bCs/>
          <w:spacing w:val="2"/>
          <w:sz w:val="36"/>
          <w:szCs w:val="24"/>
        </w:rPr>
        <w:t>办法</w:t>
      </w: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400" w:lineRule="exact"/>
        <w:rPr>
          <w:rFonts w:ascii="仿宋" w:hAnsi="仿宋" w:eastAsia="仿宋" w:cs="仿宋"/>
          <w:b/>
          <w:kern w:val="0"/>
          <w:sz w:val="24"/>
          <w:szCs w:val="24"/>
        </w:rPr>
      </w:pPr>
    </w:p>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第一部分 投标须知</w:t>
      </w:r>
    </w:p>
    <w:p>
      <w:pPr>
        <w:spacing w:line="360" w:lineRule="auto"/>
        <w:ind w:left="828" w:hanging="828" w:hangingChars="338"/>
        <w:rPr>
          <w:rFonts w:ascii="仿宋" w:hAnsi="仿宋" w:eastAsia="仿宋" w:cs="仿宋"/>
          <w:b/>
          <w:bCs/>
          <w:spacing w:val="2"/>
          <w:sz w:val="24"/>
          <w:szCs w:val="24"/>
        </w:rPr>
      </w:pPr>
      <w:r>
        <w:rPr>
          <w:rFonts w:hint="eastAsia" w:ascii="仿宋" w:hAnsi="仿宋" w:eastAsia="仿宋" w:cs="仿宋"/>
          <w:b/>
          <w:bCs/>
          <w:spacing w:val="2"/>
          <w:sz w:val="24"/>
          <w:szCs w:val="24"/>
        </w:rPr>
        <w:t>1.项目概况：</w:t>
      </w:r>
    </w:p>
    <w:p>
      <w:pPr>
        <w:spacing w:line="360" w:lineRule="auto"/>
        <w:rPr>
          <w:rFonts w:ascii="仿宋" w:hAnsi="仿宋" w:eastAsia="仿宋" w:cs="仿宋"/>
          <w:bCs/>
          <w:sz w:val="24"/>
          <w:szCs w:val="24"/>
        </w:rPr>
      </w:pPr>
      <w:r>
        <w:rPr>
          <w:rFonts w:hint="eastAsia" w:ascii="仿宋" w:hAnsi="仿宋" w:eastAsia="仿宋" w:cs="仿宋"/>
          <w:bCs/>
          <w:spacing w:val="2"/>
          <w:sz w:val="24"/>
          <w:szCs w:val="24"/>
        </w:rPr>
        <w:t>1.1项目名称：</w:t>
      </w:r>
      <w:r>
        <w:rPr>
          <w:rFonts w:hint="eastAsia" w:ascii="仿宋" w:hAnsi="仿宋" w:eastAsia="仿宋" w:cs="仿宋"/>
          <w:bCs/>
          <w:spacing w:val="2"/>
          <w:sz w:val="24"/>
          <w:szCs w:val="24"/>
          <w:u w:val="single"/>
        </w:rPr>
        <w:t>固态电池关键材料研发及中试验证项目资金申请报告</w:t>
      </w:r>
    </w:p>
    <w:p>
      <w:pPr>
        <w:spacing w:line="360" w:lineRule="auto"/>
        <w:rPr>
          <w:rFonts w:ascii="仿宋" w:hAnsi="仿宋" w:eastAsia="仿宋" w:cs="仿宋"/>
          <w:bCs/>
          <w:sz w:val="24"/>
          <w:szCs w:val="24"/>
        </w:rPr>
      </w:pPr>
      <w:r>
        <w:rPr>
          <w:rFonts w:hint="eastAsia" w:ascii="仿宋" w:hAnsi="仿宋" w:eastAsia="仿宋" w:cs="仿宋"/>
          <w:bCs/>
          <w:spacing w:val="2"/>
          <w:sz w:val="24"/>
          <w:szCs w:val="24"/>
        </w:rPr>
        <w:t>1.</w:t>
      </w:r>
      <w:r>
        <w:rPr>
          <w:rFonts w:ascii="仿宋" w:hAnsi="仿宋" w:eastAsia="仿宋" w:cs="仿宋"/>
          <w:bCs/>
          <w:spacing w:val="2"/>
          <w:sz w:val="24"/>
          <w:szCs w:val="24"/>
        </w:rPr>
        <w:t>2</w:t>
      </w:r>
      <w:r>
        <w:rPr>
          <w:rFonts w:hint="eastAsia" w:ascii="仿宋" w:hAnsi="仿宋" w:eastAsia="仿宋" w:cs="仿宋"/>
          <w:bCs/>
          <w:spacing w:val="2"/>
          <w:sz w:val="24"/>
          <w:szCs w:val="24"/>
        </w:rPr>
        <w:t>项目概况：</w:t>
      </w:r>
      <w:r>
        <w:rPr>
          <w:rFonts w:hint="eastAsia" w:ascii="仿宋" w:hAnsi="仿宋" w:eastAsia="仿宋" w:cs="仿宋"/>
          <w:bCs/>
          <w:spacing w:val="2"/>
          <w:sz w:val="24"/>
          <w:szCs w:val="24"/>
          <w:u w:val="single"/>
        </w:rPr>
        <w:t>本项目基于对固态电解质材料制备技术的研究，围绕提升固态电池关键材料的设计、研发、验证的体系能力开展攻关，开发适用于电解质物性的专用设备，放大制备工艺，建设固态电池关键材料百吨级生产线，选代生产工艺参数，完成生产工艺定型，实现年产百吨级固态电解质关键材料能力。</w:t>
      </w:r>
    </w:p>
    <w:p>
      <w:pPr>
        <w:spacing w:line="360" w:lineRule="auto"/>
        <w:ind w:left="480" w:hanging="480" w:hangingChars="200"/>
        <w:rPr>
          <w:rFonts w:ascii="仿宋" w:hAnsi="仿宋" w:eastAsia="仿宋" w:cs="仿宋"/>
          <w:sz w:val="24"/>
          <w:szCs w:val="24"/>
          <w:u w:val="single"/>
        </w:rPr>
      </w:pPr>
      <w:r>
        <w:rPr>
          <w:rFonts w:hint="eastAsia" w:ascii="仿宋" w:hAnsi="仿宋" w:eastAsia="仿宋" w:cs="仿宋"/>
          <w:sz w:val="24"/>
          <w:szCs w:val="24"/>
        </w:rPr>
        <w:t>1.</w:t>
      </w:r>
      <w:r>
        <w:rPr>
          <w:rFonts w:ascii="仿宋" w:hAnsi="仿宋" w:eastAsia="仿宋" w:cs="仿宋"/>
          <w:sz w:val="24"/>
          <w:szCs w:val="24"/>
        </w:rPr>
        <w:t>3</w:t>
      </w:r>
      <w:r>
        <w:rPr>
          <w:rFonts w:hint="eastAsia" w:ascii="仿宋" w:hAnsi="仿宋" w:eastAsia="仿宋" w:cs="仿宋"/>
          <w:sz w:val="24"/>
          <w:szCs w:val="24"/>
        </w:rPr>
        <w:t>建设单位：</w:t>
      </w:r>
      <w:r>
        <w:rPr>
          <w:rFonts w:hint="eastAsia" w:ascii="仿宋" w:hAnsi="仿宋" w:eastAsia="仿宋" w:cs="仿宋"/>
          <w:sz w:val="24"/>
          <w:szCs w:val="24"/>
          <w:u w:val="single"/>
        </w:rPr>
        <w:t>国联汽车动力电池研究院有限责任公司</w:t>
      </w:r>
    </w:p>
    <w:p>
      <w:pPr>
        <w:spacing w:line="360" w:lineRule="auto"/>
        <w:ind w:left="534" w:hanging="534" w:hangingChars="218"/>
        <w:rPr>
          <w:rFonts w:ascii="仿宋" w:hAnsi="仿宋" w:eastAsia="仿宋" w:cs="仿宋"/>
          <w:b/>
          <w:bCs/>
          <w:spacing w:val="2"/>
          <w:sz w:val="24"/>
          <w:szCs w:val="24"/>
        </w:rPr>
      </w:pPr>
      <w:r>
        <w:rPr>
          <w:rFonts w:hint="eastAsia" w:ascii="仿宋" w:hAnsi="仿宋" w:eastAsia="仿宋" w:cs="仿宋"/>
          <w:b/>
          <w:bCs/>
          <w:spacing w:val="2"/>
          <w:sz w:val="24"/>
          <w:szCs w:val="24"/>
        </w:rPr>
        <w:t>2.招标说明：</w:t>
      </w:r>
    </w:p>
    <w:p>
      <w:pPr>
        <w:overflowPunct w:val="0"/>
        <w:spacing w:line="360" w:lineRule="auto"/>
        <w:ind w:left="600" w:hanging="600" w:hangingChars="250"/>
        <w:rPr>
          <w:rFonts w:ascii="仿宋" w:hAnsi="仿宋" w:eastAsia="仿宋" w:cs="仿宋"/>
          <w:sz w:val="24"/>
          <w:szCs w:val="24"/>
        </w:rPr>
      </w:pPr>
      <w:r>
        <w:rPr>
          <w:rFonts w:hint="eastAsia" w:ascii="仿宋" w:hAnsi="仿宋" w:eastAsia="仿宋" w:cs="仿宋"/>
          <w:sz w:val="24"/>
          <w:szCs w:val="24"/>
        </w:rPr>
        <w:t>2.1联合体投标：本</w:t>
      </w:r>
      <w:r>
        <w:rPr>
          <w:rFonts w:hint="eastAsia" w:ascii="仿宋" w:hAnsi="仿宋" w:eastAsia="仿宋" w:cs="仿宋"/>
          <w:sz w:val="24"/>
          <w:szCs w:val="24"/>
          <w:lang w:eastAsia="zh-CN"/>
        </w:rPr>
        <w:t>项目</w:t>
      </w:r>
      <w:r>
        <w:rPr>
          <w:rFonts w:hint="eastAsia" w:ascii="仿宋" w:hAnsi="仿宋" w:eastAsia="仿宋" w:cs="仿宋"/>
          <w:sz w:val="24"/>
          <w:szCs w:val="24"/>
        </w:rPr>
        <w:t>不接受联合体投标；</w:t>
      </w:r>
    </w:p>
    <w:p>
      <w:pPr>
        <w:spacing w:line="360" w:lineRule="auto"/>
        <w:ind w:left="720" w:hanging="720" w:hangingChars="300"/>
        <w:rPr>
          <w:rFonts w:ascii="仿宋" w:hAnsi="仿宋" w:eastAsia="仿宋" w:cs="仿宋"/>
          <w:bCs/>
          <w:spacing w:val="2"/>
          <w:sz w:val="24"/>
          <w:szCs w:val="24"/>
        </w:rPr>
      </w:pPr>
      <w:r>
        <w:rPr>
          <w:rFonts w:hint="eastAsia" w:ascii="仿宋" w:hAnsi="仿宋" w:eastAsia="仿宋" w:cs="仿宋"/>
          <w:sz w:val="24"/>
          <w:szCs w:val="24"/>
        </w:rPr>
        <w:t>2.2语言：投标人与招标人之间的往来函电和文件均应使用中文。投标文件中涉及外文的证明文件和印刷品须附上中文译本。当投标文件中涉及外文的证明文件和印刷品与中文译本不</w:t>
      </w:r>
      <w:r>
        <w:rPr>
          <w:rFonts w:hint="eastAsia" w:ascii="仿宋" w:hAnsi="仿宋" w:eastAsia="仿宋" w:cs="仿宋"/>
          <w:bCs/>
          <w:spacing w:val="2"/>
          <w:sz w:val="24"/>
          <w:szCs w:val="24"/>
        </w:rPr>
        <w:t>一致时，以中文译本为准，投标人对其提供的中文译本的准确性负责；</w:t>
      </w:r>
    </w:p>
    <w:p>
      <w:pPr>
        <w:spacing w:line="360" w:lineRule="auto"/>
        <w:ind w:left="610" w:hanging="610" w:hangingChars="250"/>
        <w:rPr>
          <w:rFonts w:ascii="仿宋" w:hAnsi="仿宋" w:eastAsia="仿宋" w:cs="仿宋"/>
          <w:b/>
          <w:sz w:val="24"/>
          <w:szCs w:val="24"/>
        </w:rPr>
      </w:pPr>
      <w:r>
        <w:rPr>
          <w:rFonts w:hint="eastAsia" w:ascii="仿宋" w:hAnsi="仿宋" w:eastAsia="仿宋" w:cs="仿宋"/>
          <w:bCs/>
          <w:spacing w:val="2"/>
          <w:sz w:val="24"/>
          <w:szCs w:val="24"/>
        </w:rPr>
        <w:t>2.3货币单位：投标价格以人民币为货币单位，报价为税后金额。</w:t>
      </w:r>
    </w:p>
    <w:p>
      <w:pPr>
        <w:overflowPunct w:val="0"/>
        <w:spacing w:line="360" w:lineRule="auto"/>
        <w:ind w:left="600" w:hanging="600" w:hangingChars="250"/>
        <w:rPr>
          <w:rFonts w:ascii="仿宋" w:hAnsi="仿宋" w:eastAsia="仿宋" w:cs="仿宋"/>
          <w:sz w:val="24"/>
          <w:szCs w:val="24"/>
        </w:rPr>
      </w:pPr>
      <w:r>
        <w:rPr>
          <w:rFonts w:hint="eastAsia" w:ascii="仿宋" w:hAnsi="仿宋" w:eastAsia="仿宋" w:cs="仿宋"/>
          <w:sz w:val="24"/>
          <w:szCs w:val="24"/>
        </w:rPr>
        <w:t>2.4投标费用：</w:t>
      </w:r>
    </w:p>
    <w:p>
      <w:pPr>
        <w:spacing w:line="360" w:lineRule="auto"/>
        <w:ind w:left="732" w:hanging="732" w:hangingChars="300"/>
        <w:rPr>
          <w:rFonts w:ascii="仿宋" w:hAnsi="仿宋" w:eastAsia="仿宋" w:cs="仿宋"/>
          <w:bCs/>
          <w:spacing w:val="2"/>
          <w:sz w:val="24"/>
          <w:szCs w:val="24"/>
        </w:rPr>
      </w:pPr>
      <w:r>
        <w:rPr>
          <w:rFonts w:hint="eastAsia" w:ascii="仿宋" w:hAnsi="仿宋" w:eastAsia="仿宋" w:cs="仿宋"/>
          <w:bCs/>
          <w:spacing w:val="2"/>
          <w:sz w:val="24"/>
          <w:szCs w:val="24"/>
        </w:rPr>
        <w:t>2.4.1投标人承担其投标文件准备与递交所涉及的一切费用，不管投标结果如何，招标人对上述费用不负任何责任；</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2.4.2投标人领取招标文件时应交纳图纸押金</w:t>
      </w:r>
      <w:r>
        <w:rPr>
          <w:rFonts w:hint="eastAsia" w:ascii="仿宋" w:hAnsi="仿宋" w:eastAsia="仿宋" w:cs="仿宋"/>
          <w:bCs/>
          <w:spacing w:val="2"/>
          <w:sz w:val="24"/>
          <w:szCs w:val="24"/>
          <w:u w:val="single"/>
        </w:rPr>
        <w:t>0</w:t>
      </w:r>
      <w:r>
        <w:rPr>
          <w:rFonts w:hint="eastAsia" w:ascii="仿宋" w:hAnsi="仿宋" w:eastAsia="仿宋" w:cs="仿宋"/>
          <w:bCs/>
          <w:spacing w:val="2"/>
          <w:sz w:val="24"/>
          <w:szCs w:val="24"/>
        </w:rPr>
        <w:t>元。（本</w:t>
      </w:r>
      <w:r>
        <w:rPr>
          <w:rFonts w:hint="eastAsia" w:ascii="仿宋" w:hAnsi="仿宋" w:eastAsia="仿宋" w:cs="仿宋"/>
          <w:bCs/>
          <w:spacing w:val="2"/>
          <w:sz w:val="24"/>
          <w:szCs w:val="24"/>
          <w:lang w:eastAsia="zh-CN"/>
        </w:rPr>
        <w:t>项目</w:t>
      </w:r>
      <w:r>
        <w:rPr>
          <w:rFonts w:hint="eastAsia" w:ascii="仿宋" w:hAnsi="仿宋" w:eastAsia="仿宋" w:cs="仿宋"/>
          <w:bCs/>
          <w:spacing w:val="2"/>
          <w:sz w:val="24"/>
          <w:szCs w:val="24"/>
        </w:rPr>
        <w:t>无图纸押金）</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2.5资质条件：</w:t>
      </w:r>
      <w:r>
        <w:rPr>
          <w:rFonts w:hint="eastAsia" w:ascii="仿宋" w:hAnsi="仿宋" w:eastAsia="仿宋" w:cs="仿宋"/>
          <w:bCs/>
          <w:color w:val="000000" w:themeColor="text1"/>
          <w:spacing w:val="2"/>
          <w:sz w:val="24"/>
          <w:szCs w:val="24"/>
          <w14:textFill>
            <w14:solidFill>
              <w14:schemeClr w14:val="tx1"/>
            </w14:solidFill>
          </w14:textFill>
        </w:rPr>
        <w:t>具有咨询甲级资质</w:t>
      </w:r>
      <w:r>
        <w:rPr>
          <w:rFonts w:hint="eastAsia" w:ascii="仿宋" w:hAnsi="仿宋" w:eastAsia="仿宋" w:cs="仿宋"/>
          <w:bCs/>
          <w:spacing w:val="2"/>
          <w:sz w:val="24"/>
          <w:szCs w:val="24"/>
        </w:rPr>
        <w:t>。</w:t>
      </w:r>
    </w:p>
    <w:p>
      <w:pPr>
        <w:spacing w:line="360" w:lineRule="auto"/>
        <w:rPr>
          <w:rFonts w:ascii="仿宋" w:hAnsi="仿宋" w:eastAsia="仿宋" w:cs="仿宋"/>
          <w:b/>
          <w:sz w:val="24"/>
          <w:szCs w:val="24"/>
        </w:rPr>
      </w:pPr>
      <w:r>
        <w:rPr>
          <w:rFonts w:hint="eastAsia" w:ascii="仿宋" w:hAnsi="仿宋" w:eastAsia="仿宋" w:cs="仿宋"/>
          <w:b/>
          <w:sz w:val="24"/>
          <w:szCs w:val="24"/>
        </w:rPr>
        <w:t>3.招标原则及方式：</w:t>
      </w:r>
    </w:p>
    <w:p>
      <w:pPr>
        <w:spacing w:line="360" w:lineRule="auto"/>
        <w:ind w:left="488" w:hanging="488" w:hangingChars="200"/>
        <w:rPr>
          <w:rFonts w:ascii="仿宋" w:hAnsi="仿宋" w:eastAsia="仿宋" w:cs="仿宋"/>
          <w:bCs/>
          <w:spacing w:val="2"/>
          <w:sz w:val="24"/>
          <w:szCs w:val="24"/>
        </w:rPr>
      </w:pPr>
      <w:r>
        <w:rPr>
          <w:rFonts w:hint="eastAsia" w:ascii="仿宋" w:hAnsi="仿宋" w:eastAsia="仿宋" w:cs="仿宋"/>
          <w:bCs/>
          <w:spacing w:val="2"/>
          <w:sz w:val="24"/>
          <w:szCs w:val="24"/>
        </w:rPr>
        <w:t>3.1遵循公开、公平、公正及诚实信用的原则；</w:t>
      </w:r>
    </w:p>
    <w:p>
      <w:pPr>
        <w:spacing w:line="360" w:lineRule="auto"/>
        <w:ind w:left="732" w:hanging="732" w:hangingChars="300"/>
        <w:rPr>
          <w:rFonts w:ascii="仿宋" w:hAnsi="仿宋" w:eastAsia="仿宋" w:cs="仿宋"/>
          <w:bCs/>
          <w:spacing w:val="2"/>
          <w:sz w:val="24"/>
          <w:szCs w:val="24"/>
        </w:rPr>
      </w:pPr>
      <w:r>
        <w:rPr>
          <w:rFonts w:hint="eastAsia" w:ascii="仿宋" w:hAnsi="仿宋" w:eastAsia="仿宋" w:cs="仿宋"/>
          <w:bCs/>
          <w:spacing w:val="2"/>
          <w:sz w:val="24"/>
          <w:szCs w:val="24"/>
        </w:rPr>
        <w:t>3.2本</w:t>
      </w:r>
      <w:r>
        <w:rPr>
          <w:rFonts w:hint="eastAsia" w:ascii="仿宋" w:hAnsi="仿宋" w:eastAsia="仿宋" w:cs="仿宋"/>
          <w:bCs/>
          <w:spacing w:val="2"/>
          <w:sz w:val="24"/>
          <w:szCs w:val="24"/>
          <w:lang w:eastAsia="zh-CN"/>
        </w:rPr>
        <w:t>项目</w:t>
      </w:r>
      <w:r>
        <w:rPr>
          <w:rFonts w:hint="eastAsia" w:ascii="仿宋" w:hAnsi="仿宋" w:eastAsia="仿宋" w:cs="仿宋"/>
          <w:bCs/>
          <w:spacing w:val="2"/>
          <w:sz w:val="24"/>
          <w:szCs w:val="24"/>
        </w:rPr>
        <w:t>共分为一个标段，采用邀请招标方式，共有</w:t>
      </w:r>
      <w:r>
        <w:rPr>
          <w:rFonts w:hint="eastAsia" w:ascii="仿宋" w:hAnsi="仿宋" w:eastAsia="仿宋" w:cs="仿宋"/>
          <w:bCs/>
          <w:spacing w:val="2"/>
          <w:sz w:val="24"/>
          <w:szCs w:val="24"/>
          <w:u w:val="single"/>
        </w:rPr>
        <w:t>3-5</w:t>
      </w:r>
      <w:r>
        <w:rPr>
          <w:rFonts w:hint="eastAsia" w:ascii="仿宋" w:hAnsi="仿宋" w:eastAsia="仿宋" w:cs="仿宋"/>
          <w:bCs/>
          <w:spacing w:val="2"/>
          <w:sz w:val="24"/>
          <w:szCs w:val="24"/>
        </w:rPr>
        <w:t>家投标人参与投标。</w:t>
      </w:r>
    </w:p>
    <w:p>
      <w:pPr>
        <w:overflowPunct w:val="0"/>
        <w:spacing w:line="360" w:lineRule="auto"/>
        <w:rPr>
          <w:rFonts w:ascii="仿宋" w:hAnsi="仿宋" w:eastAsia="仿宋" w:cs="仿宋"/>
          <w:b/>
          <w:sz w:val="24"/>
          <w:szCs w:val="24"/>
        </w:rPr>
      </w:pPr>
      <w:r>
        <w:rPr>
          <w:rFonts w:hint="eastAsia" w:ascii="仿宋" w:hAnsi="仿宋" w:eastAsia="仿宋" w:cs="仿宋"/>
          <w:b/>
          <w:sz w:val="24"/>
          <w:szCs w:val="24"/>
        </w:rPr>
        <w:t>4.招标范围和内容：</w:t>
      </w:r>
    </w:p>
    <w:p>
      <w:pPr>
        <w:spacing w:line="360" w:lineRule="auto"/>
        <w:ind w:firstLine="566" w:firstLineChars="232"/>
        <w:rPr>
          <w:rFonts w:ascii="仿宋" w:hAnsi="仿宋" w:eastAsia="仿宋" w:cs="仿宋"/>
          <w:bCs/>
          <w:spacing w:val="2"/>
          <w:sz w:val="24"/>
          <w:szCs w:val="24"/>
        </w:rPr>
      </w:pPr>
      <w:r>
        <w:rPr>
          <w:rFonts w:hint="eastAsia" w:ascii="仿宋" w:hAnsi="仿宋" w:eastAsia="仿宋" w:cs="仿宋"/>
          <w:bCs/>
          <w:spacing w:val="2"/>
          <w:sz w:val="24"/>
          <w:szCs w:val="24"/>
        </w:rPr>
        <w:t>本</w:t>
      </w:r>
      <w:r>
        <w:rPr>
          <w:rFonts w:hint="eastAsia" w:ascii="仿宋" w:hAnsi="仿宋" w:eastAsia="仿宋" w:cs="仿宋"/>
          <w:bCs/>
          <w:spacing w:val="2"/>
          <w:sz w:val="24"/>
          <w:szCs w:val="24"/>
          <w:lang w:eastAsia="zh-CN"/>
        </w:rPr>
        <w:t>项目</w:t>
      </w:r>
      <w:r>
        <w:rPr>
          <w:rFonts w:hint="eastAsia" w:ascii="仿宋" w:hAnsi="仿宋" w:eastAsia="仿宋" w:cs="仿宋"/>
          <w:bCs/>
          <w:spacing w:val="2"/>
          <w:sz w:val="24"/>
          <w:szCs w:val="24"/>
        </w:rPr>
        <w:t>严禁转包和分包，本次招标范围为资金申请报告的编制咨询。</w:t>
      </w:r>
    </w:p>
    <w:p>
      <w:pPr>
        <w:spacing w:line="360" w:lineRule="auto"/>
        <w:rPr>
          <w:rFonts w:ascii="仿宋" w:hAnsi="仿宋" w:eastAsia="仿宋" w:cs="仿宋"/>
          <w:b/>
          <w:sz w:val="24"/>
          <w:szCs w:val="24"/>
        </w:rPr>
      </w:pPr>
      <w:r>
        <w:rPr>
          <w:rFonts w:hint="eastAsia" w:ascii="仿宋" w:hAnsi="仿宋" w:eastAsia="仿宋" w:cs="仿宋"/>
          <w:b/>
          <w:sz w:val="24"/>
          <w:szCs w:val="24"/>
        </w:rPr>
        <w:t>5.验收标准：</w:t>
      </w:r>
    </w:p>
    <w:p>
      <w:pPr>
        <w:spacing w:line="360" w:lineRule="auto"/>
        <w:ind w:left="643" w:leftChars="306"/>
        <w:rPr>
          <w:rFonts w:ascii="仿宋" w:hAnsi="仿宋" w:eastAsia="仿宋" w:cs="仿宋"/>
          <w:bCs/>
          <w:spacing w:val="2"/>
          <w:sz w:val="24"/>
          <w:szCs w:val="24"/>
        </w:rPr>
      </w:pPr>
      <w:r>
        <w:rPr>
          <w:rFonts w:hint="eastAsia" w:ascii="仿宋" w:hAnsi="仿宋" w:eastAsia="仿宋" w:cs="仿宋"/>
          <w:bCs/>
          <w:spacing w:val="2"/>
          <w:sz w:val="24"/>
          <w:szCs w:val="24"/>
        </w:rPr>
        <w:t>报告满足发改委对本项目的评审要求，得到招标公司相关部门认可。</w:t>
      </w:r>
    </w:p>
    <w:p>
      <w:pPr>
        <w:spacing w:line="360" w:lineRule="auto"/>
        <w:rPr>
          <w:rFonts w:ascii="仿宋" w:hAnsi="仿宋" w:eastAsia="仿宋" w:cs="仿宋"/>
          <w:b/>
          <w:sz w:val="24"/>
          <w:szCs w:val="24"/>
        </w:rPr>
      </w:pPr>
      <w:r>
        <w:rPr>
          <w:rFonts w:hint="eastAsia" w:ascii="仿宋" w:hAnsi="仿宋" w:eastAsia="仿宋" w:cs="仿宋"/>
          <w:b/>
          <w:sz w:val="24"/>
          <w:szCs w:val="24"/>
        </w:rPr>
        <w:t>6</w:t>
      </w:r>
      <w:r>
        <w:rPr>
          <w:rFonts w:ascii="仿宋" w:hAnsi="仿宋" w:eastAsia="仿宋" w:cs="仿宋"/>
          <w:b/>
          <w:sz w:val="24"/>
          <w:szCs w:val="24"/>
        </w:rPr>
        <w:t>.</w:t>
      </w:r>
      <w:r>
        <w:rPr>
          <w:rFonts w:hint="eastAsia" w:ascii="仿宋" w:hAnsi="仿宋" w:eastAsia="仿宋" w:cs="仿宋"/>
          <w:b/>
          <w:sz w:val="24"/>
          <w:szCs w:val="24"/>
        </w:rPr>
        <w:t>招标工期要求：</w:t>
      </w:r>
    </w:p>
    <w:p>
      <w:pPr>
        <w:spacing w:line="360" w:lineRule="auto"/>
        <w:ind w:left="630" w:leftChars="300"/>
        <w:rPr>
          <w:rFonts w:ascii="仿宋" w:hAnsi="仿宋" w:eastAsia="仿宋" w:cs="仿宋"/>
          <w:bCs/>
          <w:spacing w:val="2"/>
          <w:sz w:val="24"/>
          <w:szCs w:val="24"/>
        </w:rPr>
      </w:pPr>
      <w:r>
        <w:rPr>
          <w:rFonts w:hint="eastAsia" w:ascii="仿宋" w:hAnsi="仿宋" w:eastAsia="仿宋" w:cs="仿宋"/>
          <w:bCs/>
          <w:spacing w:val="2"/>
          <w:sz w:val="24"/>
          <w:szCs w:val="24"/>
        </w:rPr>
        <w:t>按照发改委评审的进度要求。</w:t>
      </w:r>
    </w:p>
    <w:p>
      <w:pPr>
        <w:tabs>
          <w:tab w:val="left" w:pos="540"/>
        </w:tabs>
        <w:spacing w:line="360" w:lineRule="auto"/>
        <w:rPr>
          <w:rFonts w:ascii="仿宋" w:hAnsi="仿宋" w:eastAsia="仿宋" w:cs="仿宋"/>
          <w:b/>
          <w:sz w:val="24"/>
          <w:szCs w:val="24"/>
        </w:rPr>
      </w:pPr>
      <w:r>
        <w:rPr>
          <w:rFonts w:hint="eastAsia" w:ascii="仿宋" w:hAnsi="仿宋" w:eastAsia="仿宋" w:cs="仿宋"/>
          <w:b/>
          <w:sz w:val="24"/>
          <w:szCs w:val="24"/>
        </w:rPr>
        <w:t>8.招标文件的内容：</w:t>
      </w:r>
    </w:p>
    <w:p>
      <w:pPr>
        <w:spacing w:line="360" w:lineRule="auto"/>
        <w:ind w:left="732" w:hanging="732" w:hangingChars="300"/>
        <w:rPr>
          <w:rFonts w:ascii="仿宋" w:hAnsi="仿宋" w:eastAsia="仿宋" w:cs="仿宋"/>
          <w:bCs/>
          <w:spacing w:val="2"/>
          <w:sz w:val="24"/>
          <w:szCs w:val="24"/>
        </w:rPr>
      </w:pPr>
      <w:r>
        <w:rPr>
          <w:rFonts w:hint="eastAsia" w:ascii="仿宋" w:hAnsi="仿宋" w:eastAsia="仿宋" w:cs="仿宋"/>
          <w:bCs/>
          <w:spacing w:val="2"/>
          <w:sz w:val="24"/>
          <w:szCs w:val="24"/>
        </w:rPr>
        <w:t>8.1</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本</w:t>
      </w:r>
      <w:r>
        <w:rPr>
          <w:rFonts w:hint="eastAsia" w:ascii="仿宋" w:hAnsi="仿宋" w:eastAsia="仿宋" w:cs="仿宋"/>
          <w:bCs/>
          <w:spacing w:val="2"/>
          <w:sz w:val="24"/>
          <w:szCs w:val="24"/>
          <w:lang w:eastAsia="zh-CN"/>
        </w:rPr>
        <w:t>项目</w:t>
      </w:r>
      <w:r>
        <w:rPr>
          <w:rFonts w:hint="eastAsia" w:ascii="仿宋" w:hAnsi="仿宋" w:eastAsia="仿宋" w:cs="仿宋"/>
          <w:bCs/>
          <w:spacing w:val="2"/>
          <w:sz w:val="24"/>
          <w:szCs w:val="24"/>
        </w:rPr>
        <w:t>的招标文件包括：</w:t>
      </w:r>
    </w:p>
    <w:p>
      <w:pPr>
        <w:spacing w:line="360" w:lineRule="auto"/>
        <w:ind w:left="210" w:leftChars="100" w:firstLine="488" w:firstLineChars="200"/>
        <w:rPr>
          <w:rFonts w:ascii="仿宋" w:hAnsi="仿宋" w:eastAsia="仿宋" w:cs="仿宋"/>
          <w:bCs/>
          <w:spacing w:val="2"/>
          <w:sz w:val="24"/>
          <w:szCs w:val="24"/>
        </w:rPr>
      </w:pPr>
      <w:r>
        <w:rPr>
          <w:rFonts w:hint="eastAsia" w:ascii="仿宋" w:hAnsi="仿宋" w:eastAsia="仿宋" w:cs="仿宋"/>
          <w:bCs/>
          <w:spacing w:val="2"/>
          <w:sz w:val="24"/>
          <w:szCs w:val="24"/>
        </w:rPr>
        <w:t>第一部分：投标须知</w:t>
      </w:r>
    </w:p>
    <w:p>
      <w:pPr>
        <w:spacing w:line="360" w:lineRule="auto"/>
        <w:ind w:left="210" w:leftChars="100" w:firstLine="488" w:firstLineChars="200"/>
        <w:rPr>
          <w:rFonts w:ascii="仿宋" w:hAnsi="仿宋" w:eastAsia="仿宋" w:cs="仿宋"/>
          <w:bCs/>
          <w:spacing w:val="2"/>
          <w:sz w:val="24"/>
          <w:szCs w:val="24"/>
        </w:rPr>
      </w:pPr>
      <w:r>
        <w:rPr>
          <w:rFonts w:hint="eastAsia" w:ascii="仿宋" w:hAnsi="仿宋" w:eastAsia="仿宋" w:cs="仿宋"/>
          <w:bCs/>
          <w:spacing w:val="2"/>
          <w:sz w:val="24"/>
          <w:szCs w:val="24"/>
        </w:rPr>
        <w:t>第二部分：技术要求</w:t>
      </w:r>
    </w:p>
    <w:p>
      <w:pPr>
        <w:spacing w:line="360" w:lineRule="auto"/>
        <w:ind w:left="210" w:leftChars="100" w:firstLine="488" w:firstLineChars="200"/>
        <w:rPr>
          <w:rFonts w:ascii="仿宋" w:hAnsi="仿宋" w:eastAsia="仿宋" w:cs="仿宋"/>
          <w:bCs/>
          <w:spacing w:val="2"/>
          <w:sz w:val="24"/>
          <w:szCs w:val="24"/>
        </w:rPr>
      </w:pPr>
      <w:r>
        <w:rPr>
          <w:rFonts w:hint="eastAsia" w:ascii="仿宋" w:hAnsi="仿宋" w:eastAsia="仿宋" w:cs="仿宋"/>
          <w:bCs/>
          <w:spacing w:val="2"/>
          <w:sz w:val="24"/>
          <w:szCs w:val="24"/>
        </w:rPr>
        <w:t>第三部分：招标评标</w:t>
      </w:r>
      <w:r>
        <w:rPr>
          <w:rFonts w:ascii="仿宋" w:hAnsi="仿宋" w:eastAsia="仿宋" w:cs="仿宋"/>
          <w:bCs/>
          <w:spacing w:val="2"/>
          <w:sz w:val="24"/>
          <w:szCs w:val="24"/>
        </w:rPr>
        <w:t>办法</w:t>
      </w:r>
    </w:p>
    <w:p>
      <w:pPr>
        <w:spacing w:line="360" w:lineRule="auto"/>
        <w:ind w:left="210" w:leftChars="100" w:firstLine="488" w:firstLineChars="200"/>
        <w:rPr>
          <w:rFonts w:ascii="仿宋" w:hAnsi="仿宋" w:eastAsia="仿宋" w:cs="仿宋"/>
          <w:bCs/>
          <w:spacing w:val="2"/>
          <w:sz w:val="24"/>
          <w:szCs w:val="24"/>
        </w:rPr>
      </w:pPr>
      <w:r>
        <w:rPr>
          <w:rFonts w:hint="eastAsia" w:ascii="仿宋" w:hAnsi="仿宋" w:eastAsia="仿宋" w:cs="仿宋"/>
          <w:bCs/>
          <w:spacing w:val="2"/>
          <w:sz w:val="24"/>
          <w:szCs w:val="24"/>
        </w:rPr>
        <w:t>第四部分：附件</w:t>
      </w:r>
    </w:p>
    <w:p>
      <w:pPr>
        <w:spacing w:line="360" w:lineRule="auto"/>
        <w:ind w:left="210" w:leftChars="100" w:firstLine="488" w:firstLineChars="200"/>
        <w:rPr>
          <w:rFonts w:ascii="仿宋" w:hAnsi="仿宋" w:eastAsia="仿宋" w:cs="仿宋"/>
          <w:bCs/>
          <w:spacing w:val="2"/>
          <w:sz w:val="24"/>
          <w:szCs w:val="24"/>
        </w:rPr>
      </w:pPr>
      <w:r>
        <w:rPr>
          <w:rFonts w:hint="eastAsia" w:ascii="仿宋" w:hAnsi="仿宋" w:eastAsia="仿宋" w:cs="仿宋"/>
          <w:bCs/>
          <w:spacing w:val="2"/>
          <w:sz w:val="24"/>
          <w:szCs w:val="24"/>
        </w:rPr>
        <w:t>其它：经招标联系人发放的答疑文件和补充修改文件；（如果有）</w:t>
      </w:r>
    </w:p>
    <w:p>
      <w:pPr>
        <w:spacing w:line="360" w:lineRule="auto"/>
        <w:ind w:left="732" w:hanging="732" w:hangingChars="300"/>
        <w:rPr>
          <w:rFonts w:ascii="仿宋" w:hAnsi="仿宋" w:eastAsia="仿宋" w:cs="仿宋"/>
          <w:bCs/>
          <w:spacing w:val="2"/>
          <w:sz w:val="24"/>
          <w:szCs w:val="24"/>
        </w:rPr>
      </w:pPr>
      <w:r>
        <w:rPr>
          <w:rFonts w:hint="eastAsia" w:ascii="仿宋" w:hAnsi="仿宋" w:eastAsia="仿宋" w:cs="仿宋"/>
          <w:bCs/>
          <w:spacing w:val="2"/>
          <w:sz w:val="24"/>
          <w:szCs w:val="24"/>
        </w:rPr>
        <w:t>8.2</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投标人应认真审阅招标文件中的各个组成部分，充分了解招标文件中的各项规定和中标后投标人承担的合同责任和义务。</w:t>
      </w:r>
    </w:p>
    <w:p>
      <w:pPr>
        <w:spacing w:line="360" w:lineRule="auto"/>
        <w:rPr>
          <w:rFonts w:ascii="仿宋" w:hAnsi="仿宋" w:eastAsia="仿宋" w:cs="仿宋"/>
          <w:b/>
          <w:sz w:val="24"/>
          <w:szCs w:val="24"/>
        </w:rPr>
      </w:pPr>
      <w:r>
        <w:rPr>
          <w:rFonts w:hint="eastAsia" w:ascii="仿宋" w:hAnsi="仿宋" w:eastAsia="仿宋" w:cs="仿宋"/>
          <w:b/>
          <w:sz w:val="24"/>
          <w:szCs w:val="24"/>
        </w:rPr>
        <w:t>9.招标文件的澄清：</w:t>
      </w:r>
    </w:p>
    <w:p>
      <w:pPr>
        <w:spacing w:line="360" w:lineRule="auto"/>
        <w:ind w:left="732" w:hanging="732" w:hangingChars="300"/>
        <w:rPr>
          <w:rFonts w:ascii="仿宋" w:hAnsi="仿宋" w:eastAsia="仿宋" w:cs="仿宋"/>
          <w:bCs/>
          <w:spacing w:val="2"/>
          <w:sz w:val="24"/>
          <w:szCs w:val="24"/>
        </w:rPr>
      </w:pPr>
      <w:r>
        <w:rPr>
          <w:rFonts w:hint="eastAsia" w:ascii="仿宋" w:hAnsi="仿宋" w:eastAsia="仿宋" w:cs="仿宋"/>
          <w:bCs/>
          <w:spacing w:val="2"/>
          <w:sz w:val="24"/>
          <w:szCs w:val="24"/>
        </w:rPr>
        <w:t>9.1</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投标人对招标文件内容有需要澄清的事项，应在投标须知中规定时间内，将需澄清事项以书面方式（专人递交、邮寄、传真方式送达，下同）送达招联系人。招标人将以书面形式答复；</w:t>
      </w:r>
    </w:p>
    <w:tbl>
      <w:tblPr>
        <w:tblStyle w:val="31"/>
        <w:tblW w:w="7711"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招标联系人地址：</w:t>
            </w:r>
          </w:p>
        </w:tc>
        <w:tc>
          <w:tcPr>
            <w:tcW w:w="4820"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u w:val="single"/>
              </w:rPr>
              <w:t>北京市怀柔区兴科东大街11号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招标联系人：</w:t>
            </w:r>
          </w:p>
        </w:tc>
        <w:tc>
          <w:tcPr>
            <w:tcW w:w="4820" w:type="dxa"/>
          </w:tcPr>
          <w:p>
            <w:pPr>
              <w:spacing w:line="360" w:lineRule="auto"/>
              <w:rPr>
                <w:rFonts w:hint="eastAsia" w:ascii="仿宋" w:hAnsi="仿宋" w:eastAsia="仿宋" w:cs="仿宋"/>
                <w:bCs/>
                <w:spacing w:val="2"/>
                <w:sz w:val="24"/>
                <w:szCs w:val="24"/>
                <w:lang w:eastAsia="zh-CN"/>
              </w:rPr>
            </w:pPr>
            <w:r>
              <w:rPr>
                <w:rFonts w:hint="eastAsia" w:ascii="仿宋" w:hAnsi="仿宋" w:eastAsia="仿宋" w:cs="仿宋"/>
                <w:bCs/>
                <w:spacing w:val="2"/>
                <w:sz w:val="24"/>
                <w:szCs w:val="24"/>
                <w:lang w:val="en-US" w:eastAsia="zh-CN"/>
              </w:rPr>
              <w:t>仝海峰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邮政编码：</w:t>
            </w:r>
          </w:p>
        </w:tc>
        <w:tc>
          <w:tcPr>
            <w:tcW w:w="4820"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招标联系人电话：</w:t>
            </w:r>
          </w:p>
        </w:tc>
        <w:tc>
          <w:tcPr>
            <w:tcW w:w="4820" w:type="dxa"/>
          </w:tcPr>
          <w:p>
            <w:pPr>
              <w:spacing w:line="360" w:lineRule="auto"/>
              <w:rPr>
                <w:rFonts w:hint="default" w:ascii="仿宋" w:hAnsi="仿宋" w:eastAsia="仿宋" w:cs="仿宋"/>
                <w:bCs/>
                <w:spacing w:val="2"/>
                <w:sz w:val="24"/>
                <w:szCs w:val="24"/>
                <w:lang w:val="en-US" w:eastAsia="zh-CN"/>
              </w:rPr>
            </w:pPr>
            <w:r>
              <w:rPr>
                <w:rFonts w:hint="eastAsia" w:ascii="仿宋" w:hAnsi="仿宋" w:eastAsia="仿宋" w:cs="仿宋"/>
                <w:bCs/>
                <w:spacing w:val="2"/>
                <w:sz w:val="24"/>
                <w:szCs w:val="24"/>
                <w:lang w:val="en-US" w:eastAsia="zh-CN"/>
              </w:rPr>
              <w:t>15313729535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招标联系人传真：</w:t>
            </w:r>
          </w:p>
        </w:tc>
        <w:tc>
          <w:tcPr>
            <w:tcW w:w="4820"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lang w:val="en-US" w:eastAsia="zh-CN"/>
              </w:rPr>
              <w:t>15313729535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发标时间：</w:t>
            </w:r>
          </w:p>
        </w:tc>
        <w:tc>
          <w:tcPr>
            <w:tcW w:w="4820"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202</w:t>
            </w:r>
            <w:r>
              <w:rPr>
                <w:rFonts w:ascii="仿宋" w:hAnsi="仿宋" w:eastAsia="仿宋" w:cs="仿宋"/>
                <w:bCs/>
                <w:spacing w:val="2"/>
                <w:sz w:val="24"/>
                <w:szCs w:val="24"/>
              </w:rPr>
              <w:t>4</w:t>
            </w:r>
            <w:r>
              <w:rPr>
                <w:rFonts w:hint="eastAsia" w:ascii="仿宋" w:hAnsi="仿宋" w:eastAsia="仿宋" w:cs="仿宋"/>
                <w:bCs/>
                <w:spacing w:val="2"/>
                <w:sz w:val="24"/>
                <w:szCs w:val="24"/>
              </w:rPr>
              <w:t>年</w:t>
            </w:r>
            <w:r>
              <w:rPr>
                <w:rFonts w:ascii="仿宋" w:hAnsi="仿宋" w:eastAsia="仿宋" w:cs="仿宋"/>
                <w:bCs/>
                <w:spacing w:val="2"/>
                <w:sz w:val="24"/>
                <w:szCs w:val="24"/>
              </w:rPr>
              <w:t>6</w:t>
            </w:r>
            <w:r>
              <w:rPr>
                <w:rFonts w:hint="eastAsia" w:ascii="仿宋" w:hAnsi="仿宋" w:eastAsia="仿宋" w:cs="仿宋"/>
                <w:bCs/>
                <w:spacing w:val="2"/>
                <w:sz w:val="24"/>
                <w:szCs w:val="24"/>
              </w:rPr>
              <w:t>月</w:t>
            </w:r>
            <w:r>
              <w:rPr>
                <w:rFonts w:hint="eastAsia" w:ascii="仿宋" w:hAnsi="仿宋" w:eastAsia="仿宋" w:cs="仿宋"/>
                <w:bCs/>
                <w:spacing w:val="2"/>
                <w:sz w:val="24"/>
                <w:szCs w:val="24"/>
                <w:lang w:val="en-US" w:eastAsia="zh-CN"/>
              </w:rPr>
              <w:t>6</w:t>
            </w:r>
            <w:r>
              <w:rPr>
                <w:rFonts w:hint="eastAsia" w:ascii="仿宋" w:hAnsi="仿宋" w:eastAsia="仿宋" w:cs="仿宋"/>
                <w:bCs/>
                <w:spacing w:val="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需澄清内容传真时间：</w:t>
            </w:r>
          </w:p>
        </w:tc>
        <w:tc>
          <w:tcPr>
            <w:tcW w:w="4820"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202</w:t>
            </w:r>
            <w:r>
              <w:rPr>
                <w:rFonts w:ascii="仿宋" w:hAnsi="仿宋" w:eastAsia="仿宋" w:cs="仿宋"/>
                <w:bCs/>
                <w:spacing w:val="2"/>
                <w:sz w:val="24"/>
                <w:szCs w:val="24"/>
              </w:rPr>
              <w:t>4</w:t>
            </w:r>
            <w:r>
              <w:rPr>
                <w:rFonts w:hint="eastAsia" w:ascii="仿宋" w:hAnsi="仿宋" w:eastAsia="仿宋" w:cs="仿宋"/>
                <w:bCs/>
                <w:spacing w:val="2"/>
                <w:sz w:val="24"/>
                <w:szCs w:val="24"/>
              </w:rPr>
              <w:t>年</w:t>
            </w:r>
            <w:r>
              <w:rPr>
                <w:rFonts w:ascii="仿宋" w:hAnsi="仿宋" w:eastAsia="仿宋" w:cs="仿宋"/>
                <w:bCs/>
                <w:spacing w:val="2"/>
                <w:sz w:val="24"/>
                <w:szCs w:val="24"/>
              </w:rPr>
              <w:t>6</w:t>
            </w:r>
            <w:r>
              <w:rPr>
                <w:rFonts w:hint="eastAsia" w:ascii="仿宋" w:hAnsi="仿宋" w:eastAsia="仿宋" w:cs="仿宋"/>
                <w:bCs/>
                <w:spacing w:val="2"/>
                <w:sz w:val="24"/>
                <w:szCs w:val="24"/>
              </w:rPr>
              <w:t>月</w:t>
            </w:r>
            <w:r>
              <w:rPr>
                <w:rFonts w:hint="eastAsia" w:ascii="仿宋" w:hAnsi="仿宋" w:eastAsia="仿宋" w:cs="仿宋"/>
                <w:bCs/>
                <w:spacing w:val="2"/>
                <w:sz w:val="24"/>
                <w:szCs w:val="24"/>
                <w:lang w:val="en-US" w:eastAsia="zh-CN"/>
              </w:rPr>
              <w:t>13</w:t>
            </w:r>
            <w:r>
              <w:rPr>
                <w:rFonts w:hint="eastAsia" w:ascii="仿宋" w:hAnsi="仿宋" w:eastAsia="仿宋" w:cs="仿宋"/>
                <w:bCs/>
                <w:spacing w:val="2"/>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91"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招标答疑会时间：</w:t>
            </w:r>
          </w:p>
        </w:tc>
        <w:tc>
          <w:tcPr>
            <w:tcW w:w="4820" w:type="dxa"/>
          </w:tcPr>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以招标联系人电话通知为准</w:t>
            </w:r>
          </w:p>
        </w:tc>
      </w:tr>
    </w:tbl>
    <w:p>
      <w:pPr>
        <w:spacing w:line="360" w:lineRule="auto"/>
        <w:ind w:left="750" w:leftChars="357"/>
        <w:rPr>
          <w:rFonts w:ascii="仿宋" w:hAnsi="仿宋" w:eastAsia="仿宋" w:cs="仿宋"/>
          <w:bCs/>
          <w:spacing w:val="2"/>
          <w:sz w:val="24"/>
          <w:szCs w:val="24"/>
        </w:rPr>
      </w:pPr>
      <w:r>
        <w:rPr>
          <w:rFonts w:hint="eastAsia" w:ascii="仿宋" w:hAnsi="仿宋" w:eastAsia="仿宋" w:cs="仿宋"/>
          <w:bCs/>
          <w:spacing w:val="2"/>
          <w:sz w:val="24"/>
          <w:szCs w:val="24"/>
        </w:rPr>
        <w:t>注：各投标人必须在规定时间前将需招标人解答的问题交招标联系人，投标人法人代表授权联系人应于上款规定的或招标人联系人书面通知的日期和地点出席答疑会议，出席答疑会时应携带相关的身份证明文件。</w:t>
      </w:r>
    </w:p>
    <w:p>
      <w:pPr>
        <w:spacing w:line="360" w:lineRule="auto"/>
        <w:ind w:left="766" w:leftChars="-100"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9.2</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答疑文件将提供给所有获得招标文件的投标人。由于答疑而产生的对招标文件的修改，招标联系人将以招标文件补充文件的方式给出。除非招标人特别指明，会议纪要不应直接理解为本招标文件的补充文件。只有招标人的书面答复才能被接纳，该澄清文件须与投标文件一同订装，成为投标文件的一部分。</w:t>
      </w:r>
    </w:p>
    <w:p>
      <w:pPr>
        <w:spacing w:line="360" w:lineRule="auto"/>
        <w:ind w:left="482" w:hanging="482" w:hangingChars="200"/>
        <w:rPr>
          <w:rFonts w:ascii="仿宋" w:hAnsi="仿宋" w:eastAsia="仿宋" w:cs="仿宋"/>
          <w:b/>
          <w:sz w:val="24"/>
          <w:szCs w:val="24"/>
        </w:rPr>
      </w:pPr>
      <w:r>
        <w:rPr>
          <w:rFonts w:hint="eastAsia" w:ascii="仿宋" w:hAnsi="仿宋" w:eastAsia="仿宋" w:cs="仿宋"/>
          <w:b/>
          <w:sz w:val="24"/>
          <w:szCs w:val="24"/>
        </w:rPr>
        <w:t>10.招标文件的修改：</w:t>
      </w:r>
    </w:p>
    <w:p>
      <w:pPr>
        <w:spacing w:line="360" w:lineRule="auto"/>
        <w:ind w:left="766" w:leftChars="-100"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10.1</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招标人在投标截止日期前，有权对招标文件进行修改。以向投标人发出招标文件补充文件的方式发给所有获得招标文件的投标人，并对投标人起到约束作用。投标人收到招标文件的补充文件后，应立即以书面方式通知招标人，确认已经收到招标文件的补充文件；</w:t>
      </w:r>
    </w:p>
    <w:p>
      <w:pPr>
        <w:spacing w:line="360" w:lineRule="auto"/>
        <w:ind w:left="766" w:leftChars="-100"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10.2</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如果招标人对招标文件进行了修改，认为有必要或为国家有关法律法规所必须时，招标人可以通知投标人延长投标截止时间。这种通知将以书面方式发给所有获得招标文件的投标人，投标人收到通知后，应当立即以书面方式通知招标联系人，确认已经收到该通知；</w:t>
      </w:r>
    </w:p>
    <w:p>
      <w:pPr>
        <w:spacing w:line="360" w:lineRule="auto"/>
        <w:rPr>
          <w:rFonts w:ascii="仿宋" w:hAnsi="仿宋" w:eastAsia="仿宋" w:cs="仿宋"/>
          <w:b/>
          <w:sz w:val="24"/>
          <w:szCs w:val="24"/>
        </w:rPr>
      </w:pPr>
      <w:r>
        <w:rPr>
          <w:rFonts w:hint="eastAsia" w:ascii="仿宋" w:hAnsi="仿宋" w:eastAsia="仿宋" w:cs="仿宋"/>
          <w:b/>
          <w:sz w:val="24"/>
          <w:szCs w:val="24"/>
        </w:rPr>
        <w:t>11.现场考察：</w:t>
      </w:r>
    </w:p>
    <w:p>
      <w:pPr>
        <w:pStyle w:val="60"/>
        <w:numPr>
          <w:ilvl w:val="2"/>
          <w:numId w:val="4"/>
        </w:numPr>
        <w:tabs>
          <w:tab w:val="left" w:pos="1352"/>
        </w:tabs>
        <w:spacing w:line="360" w:lineRule="auto"/>
        <w:ind w:left="1549" w:hanging="1549" w:hangingChars="662"/>
        <w:rPr>
          <w:rFonts w:ascii="仿宋" w:hAnsi="仿宋" w:eastAsia="仿宋" w:cs="仿宋"/>
          <w:sz w:val="24"/>
          <w:szCs w:val="24"/>
        </w:rPr>
      </w:pPr>
      <w:r>
        <w:rPr>
          <w:rFonts w:hint="eastAsia" w:ascii="仿宋" w:hAnsi="仿宋" w:eastAsia="仿宋" w:cs="仿宋"/>
          <w:spacing w:val="-3"/>
          <w:sz w:val="24"/>
          <w:szCs w:val="24"/>
        </w:rPr>
        <w:t>投标人根据需要自行踏勘项目现场。</w:t>
      </w:r>
    </w:p>
    <w:p>
      <w:pPr>
        <w:pStyle w:val="60"/>
        <w:numPr>
          <w:ilvl w:val="2"/>
          <w:numId w:val="4"/>
        </w:numPr>
        <w:tabs>
          <w:tab w:val="left" w:pos="1352"/>
        </w:tabs>
        <w:spacing w:line="360" w:lineRule="auto"/>
        <w:ind w:left="1549" w:hanging="1549" w:hangingChars="662"/>
        <w:rPr>
          <w:rFonts w:ascii="仿宋" w:hAnsi="仿宋" w:eastAsia="仿宋" w:cs="仿宋"/>
          <w:sz w:val="24"/>
          <w:szCs w:val="24"/>
        </w:rPr>
      </w:pPr>
      <w:r>
        <w:rPr>
          <w:rFonts w:hint="eastAsia" w:ascii="仿宋" w:hAnsi="仿宋" w:eastAsia="仿宋" w:cs="仿宋"/>
          <w:spacing w:val="-3"/>
          <w:sz w:val="24"/>
          <w:szCs w:val="24"/>
        </w:rPr>
        <w:t>投标人踏勘现场发生的费用自理。</w:t>
      </w:r>
    </w:p>
    <w:p>
      <w:pPr>
        <w:pStyle w:val="60"/>
        <w:numPr>
          <w:ilvl w:val="2"/>
          <w:numId w:val="4"/>
        </w:numPr>
        <w:tabs>
          <w:tab w:val="left" w:pos="1352"/>
        </w:tabs>
        <w:spacing w:line="360" w:lineRule="auto"/>
        <w:ind w:left="1549" w:hanging="1549" w:hangingChars="662"/>
        <w:rPr>
          <w:rFonts w:ascii="仿宋" w:hAnsi="仿宋" w:eastAsia="仿宋" w:cs="仿宋"/>
          <w:sz w:val="24"/>
          <w:szCs w:val="24"/>
        </w:rPr>
      </w:pPr>
      <w:r>
        <w:rPr>
          <w:rFonts w:hint="eastAsia" w:ascii="仿宋" w:hAnsi="仿宋" w:eastAsia="仿宋" w:cs="仿宋"/>
          <w:spacing w:val="-3"/>
          <w:sz w:val="24"/>
          <w:szCs w:val="24"/>
        </w:rPr>
        <w:t>投标人自行负责在踏勘现场中所发生的人员伤亡和财产损失。</w:t>
      </w:r>
    </w:p>
    <w:p>
      <w:pPr>
        <w:spacing w:line="360" w:lineRule="auto"/>
        <w:rPr>
          <w:rFonts w:ascii="仿宋" w:hAnsi="仿宋" w:eastAsia="仿宋" w:cs="仿宋"/>
          <w:b/>
          <w:sz w:val="24"/>
          <w:szCs w:val="24"/>
        </w:rPr>
      </w:pPr>
      <w:r>
        <w:rPr>
          <w:rFonts w:hint="eastAsia" w:ascii="仿宋" w:hAnsi="仿宋" w:eastAsia="仿宋" w:cs="仿宋"/>
          <w:b/>
          <w:sz w:val="24"/>
          <w:szCs w:val="24"/>
        </w:rPr>
        <w:t>12.投标文件的有效期：</w:t>
      </w:r>
    </w:p>
    <w:p>
      <w:pPr>
        <w:spacing w:line="360" w:lineRule="auto"/>
        <w:ind w:firstLine="732" w:firstLineChars="300"/>
        <w:rPr>
          <w:rFonts w:ascii="仿宋" w:hAnsi="仿宋" w:eastAsia="仿宋" w:cs="仿宋"/>
          <w:bCs/>
          <w:spacing w:val="2"/>
          <w:sz w:val="24"/>
          <w:szCs w:val="24"/>
        </w:rPr>
      </w:pPr>
      <w:r>
        <w:rPr>
          <w:rFonts w:hint="eastAsia" w:ascii="仿宋" w:hAnsi="仿宋" w:eastAsia="仿宋" w:cs="仿宋"/>
          <w:bCs/>
          <w:spacing w:val="2"/>
          <w:sz w:val="24"/>
          <w:szCs w:val="24"/>
        </w:rPr>
        <w:t>自投标截止日期起，投标文件有效期为90日历日。</w:t>
      </w:r>
    </w:p>
    <w:p>
      <w:pPr>
        <w:overflowPunct w:val="0"/>
        <w:spacing w:line="360" w:lineRule="auto"/>
        <w:ind w:left="750" w:leftChars="357"/>
        <w:rPr>
          <w:rFonts w:ascii="仿宋" w:hAnsi="仿宋" w:eastAsia="仿宋" w:cs="仿宋"/>
          <w:bCs/>
          <w:spacing w:val="2"/>
          <w:kern w:val="0"/>
          <w:sz w:val="24"/>
          <w:szCs w:val="24"/>
        </w:rPr>
      </w:pPr>
      <w:r>
        <w:rPr>
          <w:rFonts w:hint="eastAsia" w:ascii="仿宋" w:hAnsi="仿宋" w:eastAsia="仿宋" w:cs="仿宋"/>
          <w:bCs/>
          <w:spacing w:val="2"/>
          <w:sz w:val="24"/>
          <w:szCs w:val="24"/>
        </w:rPr>
        <w:t>在招标文件中规定的投标文件有效期满前，如果出现特殊情况，招标人可以向投标人提出延长其投标文件有效期的要求，这种要求及相关答复均应以书面形式进行。投标人可以拒绝这种要求而不会损失其投标保证金。同意延期的投标人，不需要也不允许修改其投标文件。</w:t>
      </w:r>
    </w:p>
    <w:p>
      <w:pPr>
        <w:tabs>
          <w:tab w:val="left" w:pos="720"/>
          <w:tab w:val="left" w:pos="900"/>
        </w:tabs>
        <w:spacing w:line="360" w:lineRule="auto"/>
        <w:rPr>
          <w:rFonts w:ascii="仿宋" w:hAnsi="仿宋" w:eastAsia="仿宋" w:cs="仿宋"/>
          <w:b/>
          <w:sz w:val="24"/>
          <w:szCs w:val="24"/>
        </w:rPr>
      </w:pPr>
      <w:r>
        <w:rPr>
          <w:rFonts w:hint="eastAsia" w:ascii="仿宋" w:hAnsi="仿宋" w:eastAsia="仿宋" w:cs="仿宋"/>
          <w:b/>
          <w:sz w:val="24"/>
          <w:szCs w:val="24"/>
        </w:rPr>
        <w:t>13.投标保证金：（无需投标保证金）</w:t>
      </w:r>
    </w:p>
    <w:p>
      <w:pPr>
        <w:tabs>
          <w:tab w:val="left" w:pos="540"/>
        </w:tabs>
        <w:spacing w:line="360" w:lineRule="auto"/>
        <w:rPr>
          <w:rFonts w:ascii="仿宋" w:hAnsi="仿宋" w:eastAsia="仿宋" w:cs="仿宋"/>
          <w:b/>
          <w:sz w:val="24"/>
          <w:szCs w:val="24"/>
        </w:rPr>
      </w:pPr>
      <w:r>
        <w:rPr>
          <w:rFonts w:hint="eastAsia" w:ascii="仿宋" w:hAnsi="仿宋" w:eastAsia="仿宋" w:cs="仿宋"/>
          <w:b/>
          <w:sz w:val="24"/>
          <w:szCs w:val="24"/>
        </w:rPr>
        <w:t>14.投标文件的形式和签署：</w:t>
      </w:r>
    </w:p>
    <w:p>
      <w:pPr>
        <w:spacing w:line="360" w:lineRule="auto"/>
        <w:ind w:left="708" w:hanging="707" w:hangingChars="290"/>
        <w:rPr>
          <w:rFonts w:ascii="仿宋" w:hAnsi="仿宋" w:eastAsia="仿宋" w:cs="仿宋"/>
          <w:bCs/>
          <w:spacing w:val="2"/>
          <w:sz w:val="24"/>
          <w:szCs w:val="24"/>
        </w:rPr>
      </w:pPr>
      <w:r>
        <w:rPr>
          <w:rFonts w:hint="eastAsia" w:ascii="仿宋" w:hAnsi="仿宋" w:eastAsia="仿宋" w:cs="仿宋"/>
          <w:bCs/>
          <w:spacing w:val="2"/>
          <w:sz w:val="24"/>
          <w:szCs w:val="24"/>
        </w:rPr>
        <w:t>14.1</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投标人使用投标报价函的形式提交，报价函中除提供报价以外，需对招标文件中的相关要求做出响应；</w:t>
      </w:r>
    </w:p>
    <w:p>
      <w:pPr>
        <w:spacing w:line="360" w:lineRule="auto"/>
        <w:ind w:left="732" w:hanging="732" w:hangingChars="300"/>
        <w:rPr>
          <w:rFonts w:ascii="仿宋" w:hAnsi="仿宋" w:eastAsia="仿宋" w:cs="仿宋"/>
          <w:bCs/>
          <w:spacing w:val="2"/>
          <w:sz w:val="24"/>
          <w:szCs w:val="24"/>
        </w:rPr>
      </w:pPr>
      <w:r>
        <w:rPr>
          <w:rFonts w:hint="eastAsia" w:ascii="仿宋" w:hAnsi="仿宋" w:eastAsia="仿宋" w:cs="仿宋"/>
          <w:bCs/>
          <w:spacing w:val="2"/>
          <w:sz w:val="24"/>
          <w:szCs w:val="24"/>
        </w:rPr>
        <w:t>14.2</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投标文件需加盖投标人的法人公章。投标文件如有任何增加或修正，需另行以书面形式提出并经法定代表授权委托人签名或盖章；</w:t>
      </w:r>
    </w:p>
    <w:p>
      <w:pPr>
        <w:spacing w:line="360" w:lineRule="auto"/>
        <w:ind w:left="749" w:leftChars="-50"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14.3</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文件无涂改、行间插字或删除。除非这些删改是根据已发出的招标文件补充文件的指示进行的，或是投标人造成的必须修改的错误，在后一种情况下，修改处应另行书面提出并经法定代表授权委托人签名或盖章。</w:t>
      </w:r>
    </w:p>
    <w:p>
      <w:pPr>
        <w:spacing w:line="360" w:lineRule="auto"/>
        <w:rPr>
          <w:rFonts w:ascii="仿宋" w:hAnsi="仿宋" w:eastAsia="仿宋" w:cs="仿宋"/>
          <w:b/>
          <w:sz w:val="24"/>
          <w:szCs w:val="24"/>
        </w:rPr>
      </w:pPr>
      <w:r>
        <w:rPr>
          <w:rFonts w:hint="eastAsia" w:ascii="仿宋" w:hAnsi="仿宋" w:eastAsia="仿宋" w:cs="仿宋"/>
          <w:b/>
          <w:sz w:val="24"/>
          <w:szCs w:val="24"/>
        </w:rPr>
        <w:t>16.投标文件的修改与撤回:</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16.1</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人在递交投标文件以后，可以修改或撤回其投标文件。但此要求必须书面提出并经投标文件签字人签字，且这种修改与撤回的通知必须在规定的投标截止时间前送达招标联系人，并得到招标联系人若书面确认；</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16.2</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投标人的修改或撤回通知应按关于投标文件递交的规定备制、密封、标志和递交，另外还应在密封袋上标明“修改”或“撤回”字样；</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16.3</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投标撤回通知书也可以采用传真的方式，只要招标人在投标截止时间前收到此传真，且此传真满足下列条件：</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16.3.1传真件应采用上端印有投标人名称、地址、电话或标志的信笺；</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16.3.2非常清楚地标明“撤回”字样；</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16.3.3传真由投标文件授权的签字人签字；</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16.3.4同时通过另外一种通讯方式发出一份相同内容通知，作为对上述传真的辅助证明。但此通知也应在投标截止时间前收到。</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16.4在投标截止时间后，投标人不能更改投标文件；</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16.5投标截止时间与投标文件有效期终止日之间这段期间内，投标人不能撤回投标文件。</w:t>
      </w:r>
    </w:p>
    <w:p>
      <w:pPr>
        <w:spacing w:line="360" w:lineRule="auto"/>
        <w:rPr>
          <w:rFonts w:ascii="仿宋" w:hAnsi="仿宋" w:eastAsia="仿宋" w:cs="仿宋"/>
          <w:b/>
          <w:sz w:val="24"/>
          <w:szCs w:val="24"/>
        </w:rPr>
      </w:pPr>
      <w:r>
        <w:rPr>
          <w:rFonts w:hint="eastAsia" w:ascii="仿宋" w:hAnsi="仿宋" w:eastAsia="仿宋" w:cs="仿宋"/>
          <w:b/>
          <w:sz w:val="24"/>
          <w:szCs w:val="24"/>
        </w:rPr>
        <w:t>17.投标截止时间：</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17.1投标截止时间：</w:t>
      </w:r>
      <w:r>
        <w:rPr>
          <w:rFonts w:ascii="仿宋" w:hAnsi="仿宋" w:eastAsia="仿宋" w:cs="仿宋"/>
          <w:bCs/>
          <w:spacing w:val="2"/>
          <w:sz w:val="24"/>
          <w:szCs w:val="24"/>
          <w:u w:val="single"/>
        </w:rPr>
        <w:t>2024</w:t>
      </w:r>
      <w:r>
        <w:rPr>
          <w:rFonts w:hint="eastAsia" w:ascii="仿宋" w:hAnsi="仿宋" w:eastAsia="仿宋" w:cs="仿宋"/>
          <w:bCs/>
          <w:spacing w:val="2"/>
          <w:sz w:val="24"/>
          <w:szCs w:val="24"/>
          <w:u w:val="single"/>
        </w:rPr>
        <w:t>年</w:t>
      </w:r>
      <w:r>
        <w:rPr>
          <w:rFonts w:ascii="仿宋" w:hAnsi="仿宋" w:eastAsia="仿宋" w:cs="仿宋"/>
          <w:bCs/>
          <w:spacing w:val="2"/>
          <w:sz w:val="24"/>
          <w:szCs w:val="24"/>
          <w:u w:val="single"/>
        </w:rPr>
        <w:t>6</w:t>
      </w:r>
      <w:r>
        <w:rPr>
          <w:rFonts w:hint="eastAsia" w:ascii="仿宋" w:hAnsi="仿宋" w:eastAsia="仿宋" w:cs="仿宋"/>
          <w:bCs/>
          <w:spacing w:val="2"/>
          <w:sz w:val="24"/>
          <w:szCs w:val="24"/>
          <w:u w:val="single"/>
        </w:rPr>
        <w:t>月</w:t>
      </w:r>
      <w:r>
        <w:rPr>
          <w:rFonts w:ascii="仿宋" w:hAnsi="仿宋" w:eastAsia="仿宋" w:cs="仿宋"/>
          <w:bCs/>
          <w:spacing w:val="2"/>
          <w:sz w:val="24"/>
          <w:szCs w:val="24"/>
          <w:u w:val="single"/>
        </w:rPr>
        <w:t>9</w:t>
      </w:r>
      <w:r>
        <w:rPr>
          <w:rFonts w:hint="eastAsia" w:ascii="仿宋" w:hAnsi="仿宋" w:eastAsia="仿宋" w:cs="仿宋"/>
          <w:bCs/>
          <w:spacing w:val="2"/>
          <w:sz w:val="24"/>
          <w:szCs w:val="24"/>
          <w:u w:val="single"/>
        </w:rPr>
        <w:t>日</w:t>
      </w:r>
      <w:r>
        <w:rPr>
          <w:rFonts w:ascii="仿宋" w:hAnsi="仿宋" w:eastAsia="仿宋" w:cs="仿宋"/>
          <w:bCs/>
          <w:spacing w:val="2"/>
          <w:sz w:val="24"/>
          <w:szCs w:val="24"/>
          <w:u w:val="single"/>
        </w:rPr>
        <w:t>16:00</w:t>
      </w:r>
      <w:r>
        <w:rPr>
          <w:rFonts w:hint="eastAsia" w:ascii="仿宋" w:hAnsi="仿宋" w:eastAsia="仿宋" w:cs="仿宋"/>
          <w:bCs/>
          <w:spacing w:val="2"/>
          <w:sz w:val="24"/>
          <w:szCs w:val="24"/>
        </w:rPr>
        <w:t>；</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17.2投标文件递交地址：</w:t>
      </w:r>
      <w:r>
        <w:rPr>
          <w:rFonts w:hint="eastAsia" w:ascii="仿宋" w:hAnsi="仿宋" w:eastAsia="仿宋" w:cs="仿宋"/>
          <w:sz w:val="24"/>
          <w:szCs w:val="24"/>
          <w:u w:val="single"/>
        </w:rPr>
        <w:t>北京市怀柔区兴科东大街11号</w:t>
      </w:r>
      <w:r>
        <w:rPr>
          <w:rFonts w:hint="eastAsia" w:ascii="仿宋" w:hAnsi="仿宋" w:eastAsia="仿宋" w:cs="仿宋"/>
          <w:bCs/>
          <w:spacing w:val="2"/>
          <w:sz w:val="24"/>
          <w:szCs w:val="24"/>
          <w:u w:val="single"/>
        </w:rPr>
        <w:t>；</w:t>
      </w:r>
    </w:p>
    <w:p>
      <w:pPr>
        <w:spacing w:line="360" w:lineRule="auto"/>
        <w:ind w:left="729" w:leftChars="347"/>
        <w:rPr>
          <w:rFonts w:ascii="仿宋" w:hAnsi="仿宋" w:eastAsia="仿宋" w:cs="仿宋"/>
          <w:b/>
          <w:bCs/>
          <w:spacing w:val="2"/>
          <w:sz w:val="24"/>
          <w:szCs w:val="24"/>
        </w:rPr>
      </w:pPr>
      <w:r>
        <w:rPr>
          <w:rFonts w:hint="eastAsia" w:ascii="仿宋" w:hAnsi="仿宋" w:eastAsia="仿宋" w:cs="仿宋"/>
          <w:b/>
          <w:bCs/>
          <w:spacing w:val="2"/>
          <w:sz w:val="24"/>
          <w:szCs w:val="24"/>
        </w:rPr>
        <w:t>注：投标人在规定的投标截止时间以后送到的任何投标文件，招标人有权将其作为无效标书处理，该投标人资格亦会被取消。</w:t>
      </w:r>
    </w:p>
    <w:p>
      <w:pPr>
        <w:spacing w:line="360" w:lineRule="auto"/>
        <w:rPr>
          <w:rFonts w:ascii="仿宋" w:hAnsi="仿宋" w:eastAsia="仿宋" w:cs="仿宋"/>
          <w:b/>
          <w:sz w:val="24"/>
          <w:szCs w:val="24"/>
        </w:rPr>
      </w:pPr>
      <w:r>
        <w:rPr>
          <w:rFonts w:hint="eastAsia" w:ascii="仿宋" w:hAnsi="仿宋" w:eastAsia="仿宋" w:cs="仿宋"/>
          <w:b/>
          <w:sz w:val="24"/>
          <w:szCs w:val="24"/>
        </w:rPr>
        <w:t>18.开标：</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18.1开标时间：</w:t>
      </w:r>
      <w:r>
        <w:rPr>
          <w:rFonts w:hint="eastAsia" w:ascii="仿宋" w:hAnsi="仿宋" w:eastAsia="仿宋" w:cs="仿宋"/>
          <w:bCs/>
          <w:spacing w:val="2"/>
          <w:sz w:val="24"/>
          <w:szCs w:val="24"/>
          <w:u w:val="single"/>
        </w:rPr>
        <w:t>另行确认</w:t>
      </w:r>
      <w:r>
        <w:rPr>
          <w:rFonts w:hint="eastAsia" w:ascii="仿宋" w:hAnsi="仿宋" w:eastAsia="仿宋" w:cs="仿宋"/>
          <w:bCs/>
          <w:spacing w:val="2"/>
          <w:sz w:val="24"/>
          <w:szCs w:val="24"/>
        </w:rPr>
        <w:t>；</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18.2开标地点：</w:t>
      </w:r>
      <w:r>
        <w:rPr>
          <w:rFonts w:hint="eastAsia" w:ascii="仿宋" w:hAnsi="仿宋" w:eastAsia="仿宋" w:cs="仿宋"/>
          <w:sz w:val="24"/>
          <w:szCs w:val="24"/>
          <w:u w:val="single"/>
        </w:rPr>
        <w:t>国联汽车动力电池研究院有限责任公司会议室</w:t>
      </w:r>
      <w:r>
        <w:rPr>
          <w:rFonts w:hint="eastAsia" w:ascii="仿宋" w:hAnsi="仿宋" w:eastAsia="仿宋" w:cs="仿宋"/>
          <w:bCs/>
          <w:spacing w:val="2"/>
          <w:sz w:val="24"/>
          <w:szCs w:val="24"/>
        </w:rPr>
        <w:t>；</w:t>
      </w:r>
    </w:p>
    <w:p>
      <w:pPr>
        <w:spacing w:line="360" w:lineRule="auto"/>
        <w:ind w:left="854" w:hanging="854" w:hangingChars="350"/>
        <w:rPr>
          <w:rFonts w:ascii="仿宋" w:hAnsi="仿宋" w:eastAsia="仿宋" w:cs="仿宋"/>
          <w:bCs/>
          <w:spacing w:val="2"/>
          <w:sz w:val="24"/>
          <w:szCs w:val="24"/>
          <w:highlight w:val="yellow"/>
        </w:rPr>
      </w:pPr>
      <w:r>
        <w:rPr>
          <w:rFonts w:hint="eastAsia" w:ascii="仿宋" w:hAnsi="仿宋" w:eastAsia="仿宋" w:cs="仿宋"/>
          <w:bCs/>
          <w:spacing w:val="2"/>
          <w:sz w:val="24"/>
          <w:szCs w:val="24"/>
        </w:rPr>
        <w:t>18.3开标工作由相关部门参与。</w:t>
      </w:r>
    </w:p>
    <w:p>
      <w:pPr>
        <w:spacing w:line="360" w:lineRule="auto"/>
        <w:ind w:left="840" w:hanging="840" w:hangingChars="350"/>
        <w:rPr>
          <w:rFonts w:ascii="仿宋" w:hAnsi="仿宋" w:eastAsia="仿宋" w:cs="仿宋"/>
          <w:kern w:val="0"/>
          <w:sz w:val="24"/>
          <w:szCs w:val="24"/>
        </w:rPr>
      </w:pPr>
      <w:r>
        <w:rPr>
          <w:rFonts w:hint="eastAsia" w:ascii="仿宋" w:hAnsi="仿宋" w:eastAsia="仿宋" w:cs="仿宋"/>
          <w:kern w:val="0"/>
          <w:sz w:val="24"/>
          <w:szCs w:val="24"/>
        </w:rPr>
        <w:t>18.4</w:t>
      </w:r>
      <w:r>
        <w:rPr>
          <w:rFonts w:ascii="仿宋" w:hAnsi="仿宋" w:eastAsia="仿宋" w:cs="仿宋"/>
          <w:kern w:val="0"/>
          <w:sz w:val="24"/>
          <w:szCs w:val="24"/>
        </w:rPr>
        <w:t xml:space="preserve">   </w:t>
      </w:r>
      <w:r>
        <w:rPr>
          <w:rFonts w:hint="eastAsia" w:ascii="仿宋" w:hAnsi="仿宋" w:eastAsia="仿宋" w:cs="仿宋"/>
          <w:kern w:val="0"/>
          <w:sz w:val="24"/>
          <w:szCs w:val="24"/>
        </w:rPr>
        <w:t>开技术标后，禁止投标人变更投标报价，招标人不再接受投标人任何形式的让利。只有招标人变更招标文件相关技术要求和商务条件并允许全部投标人变更投标报价的情况除外。</w:t>
      </w:r>
    </w:p>
    <w:p>
      <w:pPr>
        <w:spacing w:line="360" w:lineRule="auto"/>
        <w:ind w:left="840" w:hanging="840" w:hangingChars="350"/>
        <w:rPr>
          <w:rFonts w:ascii="仿宋" w:hAnsi="仿宋" w:eastAsia="仿宋" w:cs="仿宋"/>
          <w:bCs/>
          <w:spacing w:val="2"/>
          <w:sz w:val="24"/>
          <w:szCs w:val="24"/>
        </w:rPr>
      </w:pPr>
      <w:r>
        <w:rPr>
          <w:rFonts w:hint="eastAsia" w:ascii="仿宋" w:hAnsi="仿宋" w:eastAsia="仿宋" w:cs="仿宋"/>
          <w:kern w:val="0"/>
          <w:sz w:val="24"/>
          <w:szCs w:val="24"/>
        </w:rPr>
        <w:t>18.5</w:t>
      </w:r>
      <w:r>
        <w:rPr>
          <w:rFonts w:ascii="仿宋" w:hAnsi="仿宋" w:eastAsia="仿宋" w:cs="仿宋"/>
          <w:kern w:val="0"/>
          <w:sz w:val="24"/>
          <w:szCs w:val="24"/>
        </w:rPr>
        <w:t xml:space="preserve">   </w:t>
      </w:r>
      <w:r>
        <w:rPr>
          <w:rFonts w:hint="eastAsia" w:ascii="仿宋" w:hAnsi="仿宋" w:eastAsia="仿宋" w:cs="仿宋"/>
          <w:kern w:val="0"/>
          <w:sz w:val="24"/>
          <w:szCs w:val="24"/>
        </w:rPr>
        <w:t>开经济标后，若经济标评标发现投标人有漏项，经招标人澄清而投标人要求增加报价的，则按废标处理，招标人在经济标澄清过程中不允许投标人变更投标总价。</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18.6</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除了对按照本须知规定提交了合格的撤回通知书的投标文件将不予开封之外，招标人将检查投标文件，以便确定他们的密封、标志、备制是否符合本须知的规定；</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18.7</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投标人的名称、投标价格、投标价格修改书、投标撤回通知书及招标人认为适当的其他细节均将在开标时宣布；</w:t>
      </w:r>
    </w:p>
    <w:p>
      <w:p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18.8</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开标由招标人主持，且只对符合开标条件要求的投标文件开标。</w:t>
      </w:r>
    </w:p>
    <w:p>
      <w:pPr>
        <w:spacing w:line="360" w:lineRule="auto"/>
        <w:rPr>
          <w:rFonts w:ascii="仿宋" w:hAnsi="仿宋" w:eastAsia="仿宋" w:cs="仿宋"/>
          <w:b/>
          <w:sz w:val="24"/>
          <w:szCs w:val="24"/>
        </w:rPr>
      </w:pPr>
      <w:r>
        <w:rPr>
          <w:rFonts w:hint="eastAsia" w:ascii="仿宋" w:hAnsi="仿宋" w:eastAsia="仿宋" w:cs="仿宋"/>
          <w:b/>
          <w:sz w:val="24"/>
          <w:szCs w:val="24"/>
        </w:rPr>
        <w:t>19.投标文件的澄清及校核：</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19.1</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招标人可以个别地要求投标人澄清其投标文件的某些细节。有关澄清的要求与答复应以书面方式或以答辩会议形式进行。但这些要求、答复、答辩不应寻求、提出或允许更改投标文件中的实质性内容；</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19.2</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招标人对已被确定为响应招标文件要求的投标价格组成及投标价格汇总表中的各项价格进行校核，看其是否有计算或累计上的算术错误，招标人修正错误的原则如下：</w:t>
      </w:r>
    </w:p>
    <w:p>
      <w:pPr>
        <w:spacing w:line="360" w:lineRule="auto"/>
        <w:ind w:left="854" w:hanging="854" w:hangingChars="350"/>
        <w:rPr>
          <w:rFonts w:ascii="仿宋" w:hAnsi="仿宋" w:eastAsia="仿宋" w:cs="仿宋"/>
          <w:bCs/>
          <w:spacing w:val="2"/>
          <w:sz w:val="24"/>
          <w:szCs w:val="24"/>
        </w:rPr>
      </w:pPr>
      <w:r>
        <w:rPr>
          <w:rFonts w:hint="eastAsia" w:ascii="仿宋" w:hAnsi="仿宋" w:eastAsia="仿宋" w:cs="仿宋"/>
          <w:bCs/>
          <w:spacing w:val="2"/>
          <w:sz w:val="24"/>
          <w:szCs w:val="24"/>
        </w:rPr>
        <w:t>19.2.1如果用数字表示的数额与用文字表示的数额不一致时，以文字表示的数额为准；</w:t>
      </w:r>
    </w:p>
    <w:p>
      <w:pPr>
        <w:tabs>
          <w:tab w:val="left" w:pos="720"/>
        </w:tabs>
        <w:spacing w:line="360" w:lineRule="auto"/>
        <w:rPr>
          <w:rFonts w:ascii="仿宋" w:hAnsi="仿宋" w:eastAsia="仿宋" w:cs="仿宋"/>
          <w:b/>
          <w:sz w:val="24"/>
          <w:szCs w:val="24"/>
        </w:rPr>
      </w:pPr>
      <w:r>
        <w:rPr>
          <w:rFonts w:hint="eastAsia" w:ascii="仿宋" w:hAnsi="仿宋" w:eastAsia="仿宋" w:cs="仿宋"/>
          <w:b/>
          <w:sz w:val="24"/>
          <w:szCs w:val="24"/>
        </w:rPr>
        <w:t>20.废标条件：</w:t>
      </w:r>
    </w:p>
    <w:p>
      <w:pPr>
        <w:spacing w:line="360" w:lineRule="auto"/>
        <w:ind w:firstLine="976" w:firstLineChars="400"/>
        <w:rPr>
          <w:rFonts w:ascii="仿宋" w:hAnsi="仿宋" w:eastAsia="仿宋" w:cs="仿宋"/>
          <w:bCs/>
          <w:spacing w:val="2"/>
          <w:sz w:val="24"/>
          <w:szCs w:val="24"/>
        </w:rPr>
      </w:pPr>
      <w:r>
        <w:rPr>
          <w:rFonts w:hint="eastAsia" w:ascii="仿宋" w:hAnsi="仿宋" w:eastAsia="仿宋" w:cs="仿宋"/>
          <w:bCs/>
          <w:spacing w:val="2"/>
          <w:sz w:val="24"/>
          <w:szCs w:val="24"/>
        </w:rPr>
        <w:t>有下列情况之一的，招标人有权将投标书废除：</w:t>
      </w:r>
    </w:p>
    <w:p>
      <w:pPr>
        <w:numPr>
          <w:ilvl w:val="0"/>
          <w:numId w:val="5"/>
        </w:num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投标文件逾期送达的；</w:t>
      </w:r>
    </w:p>
    <w:p>
      <w:pPr>
        <w:numPr>
          <w:ilvl w:val="0"/>
          <w:numId w:val="5"/>
        </w:num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投标文件未送达指定地点的；</w:t>
      </w:r>
    </w:p>
    <w:p>
      <w:pPr>
        <w:numPr>
          <w:ilvl w:val="0"/>
          <w:numId w:val="5"/>
        </w:numPr>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扰乱会场秩序，经劝阻仍无理取闹的；</w:t>
      </w:r>
    </w:p>
    <w:p>
      <w:pPr>
        <w:numPr>
          <w:ilvl w:val="0"/>
          <w:numId w:val="5"/>
        </w:numPr>
        <w:spacing w:line="360" w:lineRule="auto"/>
        <w:rPr>
          <w:rFonts w:ascii="仿宋" w:hAnsi="仿宋" w:eastAsia="仿宋" w:cs="仿宋"/>
          <w:b/>
          <w:bCs/>
          <w:spacing w:val="2"/>
          <w:sz w:val="24"/>
          <w:szCs w:val="24"/>
        </w:rPr>
      </w:pPr>
      <w:r>
        <w:rPr>
          <w:rFonts w:hint="eastAsia" w:ascii="仿宋" w:hAnsi="仿宋" w:eastAsia="仿宋" w:cs="仿宋"/>
          <w:bCs/>
          <w:spacing w:val="2"/>
          <w:sz w:val="24"/>
          <w:szCs w:val="24"/>
        </w:rPr>
        <w:t>投标文件未在实质上响应招标文件的要求；</w:t>
      </w:r>
    </w:p>
    <w:p>
      <w:pPr>
        <w:tabs>
          <w:tab w:val="left" w:pos="2041"/>
        </w:tabs>
        <w:spacing w:line="360" w:lineRule="auto"/>
        <w:rPr>
          <w:rFonts w:ascii="仿宋" w:hAnsi="仿宋" w:eastAsia="仿宋" w:cs="仿宋"/>
          <w:b/>
          <w:sz w:val="24"/>
          <w:szCs w:val="24"/>
        </w:rPr>
      </w:pPr>
      <w:r>
        <w:rPr>
          <w:rFonts w:hint="eastAsia" w:ascii="仿宋" w:hAnsi="仿宋" w:eastAsia="仿宋" w:cs="仿宋"/>
          <w:b/>
          <w:sz w:val="24"/>
          <w:szCs w:val="24"/>
        </w:rPr>
        <w:t>21.评标方法：</w:t>
      </w:r>
    </w:p>
    <w:p>
      <w:pPr>
        <w:spacing w:line="360" w:lineRule="auto"/>
        <w:ind w:firstLine="976" w:firstLineChars="400"/>
        <w:rPr>
          <w:rFonts w:ascii="仿宋" w:hAnsi="仿宋" w:eastAsia="仿宋" w:cs="仿宋"/>
          <w:bCs/>
          <w:spacing w:val="2"/>
          <w:sz w:val="24"/>
          <w:szCs w:val="24"/>
        </w:rPr>
      </w:pPr>
      <w:r>
        <w:rPr>
          <w:rFonts w:hint="eastAsia" w:ascii="仿宋" w:hAnsi="仿宋" w:eastAsia="仿宋" w:cs="仿宋"/>
          <w:bCs/>
          <w:spacing w:val="2"/>
          <w:sz w:val="24"/>
          <w:szCs w:val="24"/>
        </w:rPr>
        <w:t>本</w:t>
      </w:r>
      <w:r>
        <w:rPr>
          <w:rFonts w:hint="eastAsia" w:ascii="仿宋" w:hAnsi="仿宋" w:eastAsia="仿宋" w:cs="仿宋"/>
          <w:bCs/>
          <w:spacing w:val="2"/>
          <w:sz w:val="24"/>
          <w:szCs w:val="24"/>
          <w:lang w:eastAsia="zh-CN"/>
        </w:rPr>
        <w:t>项目</w:t>
      </w:r>
      <w:r>
        <w:rPr>
          <w:rFonts w:hint="eastAsia" w:ascii="仿宋" w:hAnsi="仿宋" w:eastAsia="仿宋" w:cs="仿宋"/>
          <w:bCs/>
          <w:spacing w:val="2"/>
          <w:sz w:val="24"/>
          <w:szCs w:val="24"/>
        </w:rPr>
        <w:t>招标拟参考采用的评标方法为：</w:t>
      </w:r>
      <w:r>
        <w:rPr>
          <w:rFonts w:hint="eastAsia" w:ascii="仿宋" w:hAnsi="仿宋" w:eastAsia="仿宋" w:cs="仿宋"/>
          <w:bCs/>
          <w:spacing w:val="2"/>
          <w:sz w:val="24"/>
          <w:szCs w:val="24"/>
          <w:lang w:val="en-US" w:eastAsia="zh-CN"/>
        </w:rPr>
        <w:t>经济标评审</w:t>
      </w:r>
      <w:r>
        <w:rPr>
          <w:rFonts w:hint="eastAsia" w:ascii="仿宋" w:hAnsi="仿宋" w:eastAsia="仿宋" w:cs="仿宋"/>
          <w:bCs/>
          <w:spacing w:val="2"/>
          <w:sz w:val="24"/>
          <w:szCs w:val="24"/>
        </w:rPr>
        <w:t>。</w:t>
      </w:r>
    </w:p>
    <w:p>
      <w:pPr>
        <w:tabs>
          <w:tab w:val="left" w:pos="900"/>
        </w:tabs>
        <w:spacing w:line="360" w:lineRule="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r>
        <w:rPr>
          <w:rFonts w:hint="eastAsia" w:ascii="仿宋" w:hAnsi="仿宋" w:eastAsia="仿宋" w:cs="仿宋"/>
          <w:bCs/>
          <w:spacing w:val="2"/>
          <w:sz w:val="24"/>
          <w:szCs w:val="24"/>
          <w:lang w:val="en-US" w:eastAsia="zh-CN"/>
        </w:rPr>
        <w:t>本项目招标实行“价低者的”的评标原则。</w:t>
      </w:r>
    </w:p>
    <w:p>
      <w:pPr>
        <w:tabs>
          <w:tab w:val="left" w:pos="900"/>
        </w:tabs>
        <w:spacing w:line="360" w:lineRule="auto"/>
        <w:rPr>
          <w:rFonts w:ascii="仿宋" w:hAnsi="仿宋" w:eastAsia="仿宋" w:cs="仿宋"/>
          <w:b/>
          <w:sz w:val="24"/>
          <w:szCs w:val="24"/>
        </w:rPr>
      </w:pPr>
      <w:r>
        <w:rPr>
          <w:rFonts w:hint="eastAsia" w:ascii="仿宋" w:hAnsi="仿宋" w:eastAsia="仿宋" w:cs="仿宋"/>
          <w:b/>
          <w:sz w:val="24"/>
          <w:szCs w:val="24"/>
        </w:rPr>
        <w:t>22.招标人的权力：</w:t>
      </w:r>
    </w:p>
    <w:p>
      <w:pPr>
        <w:spacing w:line="360" w:lineRule="auto"/>
        <w:ind w:left="976"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22.1招标人在发出中标通知书之前任何时候均有权根据评标委员会评审意见接受或拒绝任何投标、宣布投标程序无效或拒绝所有投标；</w:t>
      </w:r>
    </w:p>
    <w:p>
      <w:pPr>
        <w:overflowPunct w:val="0"/>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22.2招标人有权拒绝投标价格低于成本价的投标；</w:t>
      </w:r>
    </w:p>
    <w:p>
      <w:pPr>
        <w:overflowPunct w:val="0"/>
        <w:spacing w:line="360" w:lineRule="auto"/>
        <w:ind w:left="976"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22.3招标人有权把合同授予能够最大限度地满足招标文件中规定的各项综合评价标准的投标人。</w:t>
      </w:r>
    </w:p>
    <w:p>
      <w:pPr>
        <w:overflowPunct w:val="0"/>
        <w:spacing w:line="360" w:lineRule="auto"/>
        <w:ind w:left="602" w:hanging="602" w:hangingChars="250"/>
        <w:rPr>
          <w:rFonts w:ascii="仿宋" w:hAnsi="仿宋" w:eastAsia="仿宋" w:cs="仿宋"/>
          <w:b/>
          <w:sz w:val="24"/>
          <w:szCs w:val="24"/>
        </w:rPr>
      </w:pPr>
      <w:r>
        <w:rPr>
          <w:rFonts w:hint="eastAsia" w:ascii="仿宋" w:hAnsi="仿宋" w:eastAsia="仿宋" w:cs="仿宋"/>
          <w:b/>
          <w:sz w:val="24"/>
          <w:szCs w:val="24"/>
        </w:rPr>
        <w:t>23.合同内容：</w:t>
      </w:r>
    </w:p>
    <w:p>
      <w:pPr>
        <w:tabs>
          <w:tab w:val="left" w:pos="900"/>
        </w:tabs>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23.1本招标</w:t>
      </w:r>
      <w:r>
        <w:rPr>
          <w:rFonts w:hint="eastAsia" w:ascii="仿宋" w:hAnsi="仿宋" w:eastAsia="仿宋" w:cs="仿宋"/>
          <w:bCs/>
          <w:spacing w:val="2"/>
          <w:sz w:val="24"/>
          <w:szCs w:val="24"/>
          <w:lang w:eastAsia="zh-CN"/>
        </w:rPr>
        <w:t>项目</w:t>
      </w:r>
      <w:r>
        <w:rPr>
          <w:rFonts w:hint="eastAsia" w:ascii="仿宋" w:hAnsi="仿宋" w:eastAsia="仿宋" w:cs="仿宋"/>
          <w:bCs/>
          <w:spacing w:val="2"/>
          <w:sz w:val="24"/>
          <w:szCs w:val="24"/>
        </w:rPr>
        <w:t>合同为</w:t>
      </w:r>
      <w:r>
        <w:rPr>
          <w:rFonts w:hint="eastAsia" w:ascii="仿宋" w:hAnsi="仿宋" w:eastAsia="仿宋" w:cs="仿宋"/>
          <w:b/>
          <w:bCs/>
          <w:spacing w:val="2"/>
          <w:sz w:val="24"/>
          <w:szCs w:val="24"/>
          <w:u w:val="single"/>
        </w:rPr>
        <w:t>固定总价</w:t>
      </w:r>
      <w:r>
        <w:rPr>
          <w:rFonts w:hint="eastAsia" w:ascii="仿宋" w:hAnsi="仿宋" w:eastAsia="仿宋" w:cs="仿宋"/>
          <w:bCs/>
          <w:spacing w:val="2"/>
          <w:sz w:val="24"/>
          <w:szCs w:val="24"/>
        </w:rPr>
        <w:t>合同形式；</w:t>
      </w:r>
    </w:p>
    <w:p>
      <w:pPr>
        <w:overflowPunct w:val="0"/>
        <w:spacing w:line="360" w:lineRule="auto"/>
        <w:ind w:left="610" w:hanging="610" w:hangingChars="250"/>
        <w:rPr>
          <w:rFonts w:ascii="仿宋" w:hAnsi="仿宋" w:eastAsia="仿宋" w:cs="仿宋"/>
          <w:bCs/>
          <w:spacing w:val="2"/>
          <w:sz w:val="24"/>
          <w:szCs w:val="24"/>
        </w:rPr>
      </w:pPr>
      <w:r>
        <w:rPr>
          <w:rFonts w:hint="eastAsia" w:ascii="仿宋" w:hAnsi="仿宋" w:eastAsia="仿宋" w:cs="仿宋"/>
          <w:bCs/>
          <w:spacing w:val="2"/>
          <w:kern w:val="0"/>
          <w:sz w:val="24"/>
          <w:szCs w:val="24"/>
        </w:rPr>
        <w:t>23.2</w:t>
      </w:r>
      <w:r>
        <w:rPr>
          <w:rFonts w:hint="eastAsia" w:ascii="仿宋" w:hAnsi="仿宋" w:eastAsia="仿宋" w:cs="仿宋"/>
          <w:bCs/>
          <w:spacing w:val="2"/>
          <w:sz w:val="24"/>
          <w:szCs w:val="24"/>
        </w:rPr>
        <w:t>招标文件（含招标文件的修改书、澄清文件）是合同的组成文件之一；</w:t>
      </w:r>
    </w:p>
    <w:p>
      <w:pPr>
        <w:overflowPunct w:val="0"/>
        <w:spacing w:line="360" w:lineRule="auto"/>
        <w:ind w:left="602" w:hanging="602" w:hangingChars="250"/>
        <w:rPr>
          <w:rFonts w:ascii="仿宋" w:hAnsi="仿宋" w:eastAsia="仿宋" w:cs="仿宋"/>
          <w:b/>
          <w:sz w:val="24"/>
          <w:szCs w:val="24"/>
        </w:rPr>
      </w:pPr>
      <w:r>
        <w:rPr>
          <w:rFonts w:hint="eastAsia" w:ascii="仿宋" w:hAnsi="仿宋" w:eastAsia="仿宋" w:cs="仿宋"/>
          <w:b/>
          <w:sz w:val="24"/>
          <w:szCs w:val="24"/>
        </w:rPr>
        <w:t>24.合同的签署:</w:t>
      </w:r>
    </w:p>
    <w:p>
      <w:pPr>
        <w:overflowPunct w:val="0"/>
        <w:spacing w:line="360" w:lineRule="auto"/>
        <w:ind w:left="976"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24.1</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中标人收到招标人通知后，按规定的时间、地点与招标人或招标人的委托人签订合同。</w:t>
      </w:r>
    </w:p>
    <w:p>
      <w:pPr>
        <w:tabs>
          <w:tab w:val="left" w:pos="1155"/>
        </w:tabs>
        <w:snapToGrid w:val="0"/>
        <w:spacing w:line="360" w:lineRule="auto"/>
        <w:ind w:left="976"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24.2</w:t>
      </w:r>
      <w:r>
        <w:rPr>
          <w:rFonts w:ascii="仿宋" w:hAnsi="仿宋" w:eastAsia="仿宋" w:cs="仿宋"/>
          <w:bCs/>
          <w:spacing w:val="2"/>
          <w:sz w:val="24"/>
          <w:szCs w:val="24"/>
        </w:rPr>
        <w:t xml:space="preserve">   </w:t>
      </w:r>
      <w:r>
        <w:rPr>
          <w:rFonts w:hint="eastAsia" w:ascii="仿宋" w:hAnsi="仿宋" w:eastAsia="仿宋" w:cs="仿宋"/>
          <w:bCs/>
          <w:spacing w:val="2"/>
          <w:sz w:val="24"/>
          <w:szCs w:val="24"/>
        </w:rPr>
        <w:t>招标文件、投标文件及评标过程中形成的有关澄清、修改文件的书面文件均作为签订合同的依据。</w:t>
      </w:r>
    </w:p>
    <w:p>
      <w:pPr>
        <w:tabs>
          <w:tab w:val="left" w:pos="1155"/>
        </w:tabs>
        <w:snapToGrid w:val="0"/>
        <w:spacing w:line="360" w:lineRule="auto"/>
        <w:ind w:left="840" w:hanging="840" w:hangingChars="350"/>
        <w:rPr>
          <w:rFonts w:ascii="仿宋" w:hAnsi="仿宋" w:eastAsia="仿宋" w:cs="仿宋"/>
          <w:sz w:val="24"/>
          <w:szCs w:val="24"/>
        </w:rPr>
      </w:pPr>
      <w:r>
        <w:rPr>
          <w:rFonts w:hint="eastAsia" w:ascii="仿宋" w:hAnsi="仿宋" w:eastAsia="仿宋" w:cs="仿宋"/>
          <w:sz w:val="24"/>
          <w:szCs w:val="24"/>
        </w:rPr>
        <w:t>24.3</w:t>
      </w:r>
      <w:r>
        <w:rPr>
          <w:rFonts w:ascii="仿宋" w:hAnsi="仿宋" w:eastAsia="仿宋" w:cs="仿宋"/>
          <w:sz w:val="24"/>
          <w:szCs w:val="24"/>
        </w:rPr>
        <w:t xml:space="preserve">    </w:t>
      </w:r>
      <w:r>
        <w:rPr>
          <w:rFonts w:hint="eastAsia" w:ascii="仿宋" w:hAnsi="仿宋" w:eastAsia="仿宋" w:cs="仿宋"/>
          <w:sz w:val="24"/>
          <w:szCs w:val="24"/>
        </w:rPr>
        <w:t>合同协议书经招标人、中标人双方法定代表人或其授权委托人签字及加盖公司法人印章后立即生效。</w:t>
      </w:r>
    </w:p>
    <w:p>
      <w:pPr>
        <w:tabs>
          <w:tab w:val="left" w:pos="1155"/>
        </w:tabs>
        <w:snapToGrid w:val="0"/>
        <w:spacing w:line="360" w:lineRule="auto"/>
        <w:ind w:left="840" w:hanging="840" w:hangingChars="350"/>
        <w:rPr>
          <w:rFonts w:ascii="仿宋" w:hAnsi="仿宋" w:eastAsia="仿宋" w:cs="仿宋"/>
          <w:bCs/>
          <w:spacing w:val="2"/>
          <w:sz w:val="24"/>
          <w:szCs w:val="24"/>
        </w:rPr>
      </w:pPr>
      <w:r>
        <w:rPr>
          <w:rFonts w:hint="eastAsia" w:ascii="仿宋" w:hAnsi="仿宋" w:eastAsia="仿宋" w:cs="仿宋"/>
          <w:sz w:val="24"/>
          <w:szCs w:val="24"/>
        </w:rPr>
        <w:t>24.4</w:t>
      </w:r>
      <w:r>
        <w:rPr>
          <w:rFonts w:ascii="仿宋" w:hAnsi="仿宋" w:eastAsia="仿宋" w:cs="仿宋"/>
          <w:sz w:val="24"/>
          <w:szCs w:val="24"/>
        </w:rPr>
        <w:t xml:space="preserve">    </w:t>
      </w:r>
      <w:r>
        <w:rPr>
          <w:rFonts w:hint="eastAsia" w:ascii="仿宋" w:hAnsi="仿宋" w:eastAsia="仿宋" w:cs="仿宋"/>
          <w:sz w:val="24"/>
          <w:szCs w:val="24"/>
        </w:rPr>
        <w:t>如中标人在规定的期限内不能与招标人签订合同协议书，按自行放弃处理；招标人有权从原未中标人中重新选择中标人或重新招标，投标人不得提出异议。</w:t>
      </w:r>
    </w:p>
    <w:p>
      <w:pPr>
        <w:overflowPunct w:val="0"/>
        <w:spacing w:line="360" w:lineRule="auto"/>
        <w:ind w:left="482" w:hanging="482" w:hangingChars="200"/>
        <w:rPr>
          <w:rFonts w:ascii="仿宋" w:hAnsi="仿宋" w:eastAsia="仿宋" w:cs="仿宋"/>
          <w:b/>
          <w:sz w:val="24"/>
          <w:szCs w:val="24"/>
        </w:rPr>
      </w:pPr>
      <w:r>
        <w:rPr>
          <w:rFonts w:hint="eastAsia" w:ascii="仿宋" w:hAnsi="仿宋" w:eastAsia="仿宋" w:cs="仿宋"/>
          <w:b/>
          <w:sz w:val="24"/>
          <w:szCs w:val="24"/>
        </w:rPr>
        <w:t>25.保密条款：</w:t>
      </w:r>
    </w:p>
    <w:p>
      <w:pPr>
        <w:spacing w:line="360" w:lineRule="auto"/>
        <w:ind w:left="425" w:leftChars="-1" w:hanging="427" w:hangingChars="175"/>
        <w:rPr>
          <w:rFonts w:ascii="仿宋" w:hAnsi="仿宋" w:eastAsia="仿宋" w:cs="仿宋"/>
          <w:bCs/>
          <w:spacing w:val="2"/>
          <w:sz w:val="24"/>
          <w:szCs w:val="24"/>
        </w:rPr>
      </w:pPr>
      <w:r>
        <w:rPr>
          <w:rFonts w:hint="eastAsia" w:ascii="仿宋" w:hAnsi="仿宋" w:eastAsia="仿宋" w:cs="仿宋"/>
          <w:bCs/>
          <w:spacing w:val="2"/>
          <w:sz w:val="24"/>
          <w:szCs w:val="24"/>
        </w:rPr>
        <w:t>25.1招标过程中，投标人对招标文件的所有内容有保密义务，不得将招标文件内容向他人泄露，一旦发现，招标人有权取消其投标资格或视其投标书为无效标书，投标保证金不予退还；</w:t>
      </w:r>
    </w:p>
    <w:p>
      <w:pPr>
        <w:tabs>
          <w:tab w:val="left" w:pos="900"/>
        </w:tabs>
        <w:spacing w:line="360" w:lineRule="auto"/>
        <w:rPr>
          <w:rFonts w:ascii="仿宋" w:hAnsi="仿宋" w:eastAsia="仿宋" w:cs="仿宋"/>
          <w:bCs/>
          <w:spacing w:val="2"/>
          <w:sz w:val="24"/>
          <w:szCs w:val="24"/>
        </w:rPr>
      </w:pPr>
      <w:r>
        <w:rPr>
          <w:rFonts w:hint="eastAsia" w:ascii="仿宋" w:hAnsi="仿宋" w:eastAsia="仿宋" w:cs="仿宋"/>
          <w:bCs/>
          <w:spacing w:val="2"/>
          <w:sz w:val="24"/>
          <w:szCs w:val="24"/>
        </w:rPr>
        <w:t>25.2定标后，投标人无论中标与否，都不得泄露本次招标相关文件；</w:t>
      </w:r>
    </w:p>
    <w:p>
      <w:pPr>
        <w:tabs>
          <w:tab w:val="left" w:pos="900"/>
        </w:tabs>
        <w:spacing w:line="360" w:lineRule="auto"/>
        <w:ind w:left="976" w:hanging="976" w:hangingChars="400"/>
        <w:rPr>
          <w:rFonts w:ascii="仿宋" w:hAnsi="仿宋" w:eastAsia="仿宋" w:cs="仿宋"/>
          <w:bCs/>
          <w:spacing w:val="2"/>
          <w:sz w:val="24"/>
          <w:szCs w:val="24"/>
        </w:rPr>
      </w:pPr>
      <w:r>
        <w:rPr>
          <w:rFonts w:hint="eastAsia" w:ascii="仿宋" w:hAnsi="仿宋" w:eastAsia="仿宋" w:cs="仿宋"/>
          <w:bCs/>
          <w:spacing w:val="2"/>
          <w:sz w:val="24"/>
          <w:szCs w:val="24"/>
        </w:rPr>
        <w:t>25.3若投标人没有遵循保密要求而引起招标人损失的，招标人有权向投标人要求索赔。</w:t>
      </w:r>
    </w:p>
    <w:p>
      <w:pPr>
        <w:tabs>
          <w:tab w:val="left" w:pos="900"/>
        </w:tabs>
        <w:spacing w:line="360" w:lineRule="auto"/>
        <w:ind w:left="723" w:hanging="723" w:hangingChars="300"/>
        <w:rPr>
          <w:rFonts w:ascii="仿宋" w:hAnsi="仿宋" w:eastAsia="仿宋" w:cs="仿宋"/>
          <w:b/>
          <w:sz w:val="24"/>
          <w:szCs w:val="24"/>
        </w:rPr>
      </w:pPr>
      <w:r>
        <w:rPr>
          <w:rFonts w:hint="eastAsia" w:ascii="仿宋" w:hAnsi="仿宋" w:eastAsia="仿宋" w:cs="仿宋"/>
          <w:b/>
          <w:sz w:val="24"/>
          <w:szCs w:val="24"/>
        </w:rPr>
        <w:t>26.投诉：</w:t>
      </w:r>
    </w:p>
    <w:p>
      <w:pPr>
        <w:adjustRightInd w:val="0"/>
        <w:snapToGrid w:val="0"/>
        <w:spacing w:line="360" w:lineRule="auto"/>
        <w:ind w:left="840" w:hanging="840" w:hangingChars="350"/>
        <w:rPr>
          <w:rFonts w:ascii="仿宋" w:hAnsi="仿宋" w:eastAsia="仿宋" w:cs="仿宋"/>
          <w:sz w:val="24"/>
          <w:szCs w:val="24"/>
        </w:rPr>
      </w:pPr>
      <w:r>
        <w:rPr>
          <w:rFonts w:hint="eastAsia" w:ascii="仿宋" w:hAnsi="仿宋" w:eastAsia="仿宋" w:cs="仿宋"/>
          <w:sz w:val="24"/>
          <w:szCs w:val="24"/>
        </w:rPr>
        <w:t>26.1</w:t>
      </w:r>
      <w:r>
        <w:rPr>
          <w:rFonts w:ascii="仿宋" w:hAnsi="仿宋" w:eastAsia="仿宋" w:cs="仿宋"/>
          <w:sz w:val="24"/>
          <w:szCs w:val="24"/>
        </w:rPr>
        <w:t xml:space="preserve">   </w:t>
      </w:r>
      <w:r>
        <w:rPr>
          <w:rFonts w:hint="eastAsia" w:ascii="仿宋" w:hAnsi="仿宋" w:eastAsia="仿宋" w:cs="仿宋"/>
          <w:sz w:val="24"/>
          <w:szCs w:val="24"/>
        </w:rPr>
        <w:t>招标人为投标人设立了投诉电话（010-60662916），各投标人在参加本次投标过程中若发现招标人存在有失公平等行为的，则可以投诉，投诉的受理单位为国联汽车动力电池研究院有限责任公司。</w:t>
      </w:r>
    </w:p>
    <w:p>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26.2投标人在投诉信中应提供真实姓名（必须为授权委托人）、单位名称、详细联系方式（电话、地址、邮政编码等）等，并如实详细叙述投诉内容，如有相关证据也一起提供。</w:t>
      </w:r>
    </w:p>
    <w:p>
      <w:pPr>
        <w:spacing w:line="360" w:lineRule="auto"/>
        <w:rPr>
          <w:rFonts w:ascii="仿宋" w:hAnsi="仿宋" w:eastAsia="仿宋" w:cs="仿宋"/>
          <w:sz w:val="24"/>
          <w:szCs w:val="24"/>
        </w:rPr>
      </w:pPr>
      <w:r>
        <w:rPr>
          <w:rFonts w:hint="eastAsia" w:ascii="仿宋" w:hAnsi="仿宋" w:eastAsia="仿宋" w:cs="仿宋"/>
          <w:sz w:val="24"/>
          <w:szCs w:val="24"/>
        </w:rPr>
        <w:t>26.3国联汽车动力电池研究院有限责任公司将对投诉人的相关信息严格保密。</w:t>
      </w:r>
    </w:p>
    <w:p>
      <w:pPr>
        <w:spacing w:before="100" w:beforeAutospacing="1" w:after="100" w:afterAutospacing="1" w:line="400" w:lineRule="exact"/>
        <w:ind w:firstLine="2989" w:firstLineChars="1225"/>
        <w:rPr>
          <w:rFonts w:ascii="仿宋" w:hAnsi="仿宋" w:eastAsia="仿宋" w:cs="仿宋"/>
          <w:b/>
          <w:kern w:val="0"/>
          <w:sz w:val="24"/>
          <w:szCs w:val="24"/>
        </w:rPr>
      </w:pPr>
      <w:r>
        <w:rPr>
          <w:rFonts w:hint="eastAsia" w:ascii="仿宋" w:hAnsi="仿宋" w:eastAsia="仿宋" w:cs="仿宋"/>
          <w:bCs/>
          <w:spacing w:val="2"/>
          <w:sz w:val="24"/>
          <w:szCs w:val="24"/>
        </w:rPr>
        <w:br w:type="page"/>
      </w:r>
      <w:r>
        <w:rPr>
          <w:rFonts w:hint="eastAsia" w:ascii="仿宋" w:hAnsi="仿宋" w:eastAsia="仿宋" w:cs="仿宋"/>
          <w:b/>
          <w:kern w:val="0"/>
          <w:sz w:val="24"/>
          <w:szCs w:val="24"/>
        </w:rPr>
        <w:t>第二部分技术要求</w:t>
      </w:r>
    </w:p>
    <w:p>
      <w:pPr>
        <w:spacing w:line="400" w:lineRule="exact"/>
        <w:rPr>
          <w:rFonts w:ascii="仿宋" w:hAnsi="仿宋" w:eastAsia="仿宋" w:cs="仿宋"/>
          <w:b/>
          <w:sz w:val="24"/>
          <w:szCs w:val="24"/>
        </w:rPr>
      </w:pPr>
      <w:r>
        <w:rPr>
          <w:rFonts w:hint="eastAsia" w:ascii="仿宋" w:hAnsi="仿宋" w:eastAsia="仿宋" w:cs="仿宋"/>
          <w:b/>
          <w:bCs/>
          <w:spacing w:val="2"/>
          <w:sz w:val="24"/>
          <w:szCs w:val="24"/>
        </w:rPr>
        <w:t>一、</w:t>
      </w:r>
      <w:r>
        <w:rPr>
          <w:rFonts w:hint="eastAsia" w:ascii="仿宋" w:hAnsi="仿宋" w:eastAsia="仿宋" w:cs="仿宋"/>
          <w:b/>
          <w:sz w:val="24"/>
          <w:szCs w:val="24"/>
        </w:rPr>
        <w:t>标段划分</w:t>
      </w:r>
    </w:p>
    <w:p>
      <w:pPr>
        <w:spacing w:line="400" w:lineRule="exact"/>
        <w:rPr>
          <w:rFonts w:ascii="仿宋" w:hAnsi="仿宋" w:eastAsia="仿宋" w:cs="仿宋"/>
          <w:b/>
          <w:sz w:val="24"/>
          <w:szCs w:val="24"/>
        </w:rPr>
      </w:pPr>
      <w:r>
        <w:rPr>
          <w:rFonts w:hint="eastAsia" w:ascii="仿宋" w:hAnsi="仿宋" w:eastAsia="仿宋" w:cs="仿宋"/>
          <w:b/>
          <w:sz w:val="24"/>
          <w:szCs w:val="24"/>
        </w:rPr>
        <w:t>1.标段划分:</w:t>
      </w:r>
    </w:p>
    <w:p>
      <w:pPr>
        <w:spacing w:line="400" w:lineRule="exact"/>
        <w:ind w:firstLine="360" w:firstLineChars="150"/>
        <w:rPr>
          <w:rFonts w:ascii="仿宋" w:hAnsi="仿宋" w:eastAsia="仿宋" w:cs="仿宋"/>
          <w:b/>
          <w:sz w:val="24"/>
          <w:szCs w:val="24"/>
        </w:rPr>
      </w:pPr>
      <w:r>
        <w:rPr>
          <w:rFonts w:hint="eastAsia" w:ascii="仿宋" w:hAnsi="仿宋" w:eastAsia="仿宋" w:cs="仿宋"/>
          <w:sz w:val="24"/>
          <w:szCs w:val="24"/>
        </w:rPr>
        <w:t>本招标</w:t>
      </w:r>
      <w:r>
        <w:rPr>
          <w:rFonts w:hint="eastAsia" w:ascii="仿宋" w:hAnsi="仿宋" w:eastAsia="仿宋" w:cs="仿宋"/>
          <w:sz w:val="24"/>
          <w:szCs w:val="24"/>
          <w:lang w:eastAsia="zh-CN"/>
        </w:rPr>
        <w:t>项目</w:t>
      </w:r>
      <w:r>
        <w:rPr>
          <w:rFonts w:hint="eastAsia" w:ascii="仿宋" w:hAnsi="仿宋" w:eastAsia="仿宋" w:cs="仿宋"/>
          <w:sz w:val="24"/>
          <w:szCs w:val="24"/>
        </w:rPr>
        <w:t>共一个标段，固态电池关键材料研发及中试验证项目资金申请报告。</w:t>
      </w:r>
    </w:p>
    <w:p>
      <w:pPr>
        <w:spacing w:line="360" w:lineRule="auto"/>
        <w:rPr>
          <w:rFonts w:ascii="仿宋" w:hAnsi="仿宋" w:eastAsia="仿宋" w:cs="仿宋"/>
          <w:b/>
          <w:sz w:val="24"/>
          <w:szCs w:val="24"/>
        </w:rPr>
      </w:pPr>
      <w:r>
        <w:rPr>
          <w:rFonts w:hint="eastAsia" w:ascii="仿宋" w:hAnsi="仿宋" w:eastAsia="仿宋" w:cs="仿宋"/>
          <w:b/>
          <w:sz w:val="24"/>
          <w:szCs w:val="24"/>
        </w:rPr>
        <w:t>二、招标范围:</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本次固态电池关键材料研发及中试验证项目项目申报资金申请报告的编制。</w:t>
      </w:r>
    </w:p>
    <w:p>
      <w:pPr>
        <w:spacing w:line="400" w:lineRule="exact"/>
        <w:rPr>
          <w:rFonts w:ascii="仿宋" w:hAnsi="仿宋" w:eastAsia="仿宋" w:cs="仿宋"/>
          <w:b/>
          <w:bCs/>
          <w:spacing w:val="2"/>
          <w:sz w:val="24"/>
          <w:szCs w:val="24"/>
        </w:rPr>
      </w:pPr>
      <w:r>
        <w:rPr>
          <w:rFonts w:hint="eastAsia" w:ascii="仿宋" w:hAnsi="仿宋" w:eastAsia="仿宋" w:cs="仿宋"/>
          <w:b/>
          <w:bCs/>
          <w:spacing w:val="2"/>
          <w:sz w:val="24"/>
          <w:szCs w:val="24"/>
        </w:rPr>
        <w:t>三、技术要求</w:t>
      </w:r>
    </w:p>
    <w:p>
      <w:pPr>
        <w:pStyle w:val="2"/>
        <w:framePr w:hSpace="0" w:vSpace="0" w:wrap="auto" w:vAnchor="margin" w:hAnchor="text" w:yAlign="inline"/>
        <w:spacing w:before="181" w:line="337" w:lineRule="auto"/>
        <w:ind w:left="386" w:right="304" w:firstLine="9"/>
        <w:rPr>
          <w:rFonts w:ascii="仿宋" w:hAnsi="仿宋" w:eastAsia="仿宋" w:cs="仿宋"/>
          <w:szCs w:val="24"/>
        </w:rPr>
      </w:pPr>
      <w:r>
        <w:rPr>
          <w:rFonts w:hint="eastAsia" w:ascii="仿宋" w:hAnsi="仿宋" w:eastAsia="仿宋" w:cs="仿宋"/>
          <w:szCs w:val="24"/>
        </w:rPr>
        <w:t>编制大纲：</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第一章 概 况</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一、项目概况</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二、主要技术经济指标</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三、报告编制依据</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四、项目建设意义</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五、结论</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第二章  项目建设背景及必要性</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一、项目建设背景</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二、项目建设的必要性</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三、项目申请资金的符合性</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第三章  项目实施单位情况</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一、项目实施单位基本情况</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二、项目实施单位简介</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三、项目联系人</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第四章  建设地点与建设条件</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一、建设地点及用地现状</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二、项目建设条件</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第五章 建设方案</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项目</w:t>
      </w:r>
      <w:r>
        <w:rPr>
          <w:rFonts w:hint="eastAsia" w:ascii="仿宋" w:hAnsi="仿宋" w:eastAsia="仿宋" w:cs="仿宋"/>
          <w:sz w:val="24"/>
          <w:szCs w:val="24"/>
        </w:rPr>
        <w:t>概况</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二、建筑专业</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三、结构专业</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四、给排水专业</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五、暖通专业</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六、气体动力设计</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七、电气专业</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第六章 节能与节水</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一、用能标准和节能规范</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二、节能措施综述</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三、结论</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第七章  投资估算与资金筹措</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一、投资估算编制依据</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二、投资估算编制说明</w:t>
      </w:r>
      <w:r>
        <w:rPr>
          <w:rFonts w:hint="eastAsia" w:ascii="仿宋" w:hAnsi="仿宋" w:eastAsia="仿宋" w:cs="仿宋"/>
          <w:sz w:val="24"/>
          <w:szCs w:val="24"/>
        </w:rPr>
        <w:tab/>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三、项目总投资</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四、资金筹措</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第八章  项目组织管理与进度计划</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一、项目组织与管理</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二、企业组织机构</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三、项目实施计划</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第九章  项目招标管理</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一、编制依据</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二、招标原则</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三、招标范围</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四、招标方式</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第十章  社会效益及风险控制评价</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一、社会效益评价</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二、经济效益</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三、风险控制评价</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第十一章  结论与建议</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一、结论</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二、建议</w:t>
      </w:r>
      <w:r>
        <w:rPr>
          <w:rFonts w:hint="eastAsia" w:ascii="仿宋" w:hAnsi="仿宋" w:eastAsia="仿宋" w:cs="仿宋"/>
          <w:sz w:val="24"/>
          <w:szCs w:val="24"/>
        </w:rPr>
        <w:tab/>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附 件</w:t>
      </w:r>
      <w:r>
        <w:rPr>
          <w:rFonts w:hint="eastAsia" w:ascii="仿宋" w:hAnsi="仿宋" w:eastAsia="仿宋" w:cs="仿宋"/>
          <w:sz w:val="24"/>
          <w:szCs w:val="24"/>
        </w:rPr>
        <w:tab/>
      </w:r>
    </w:p>
    <w:p>
      <w:pPr>
        <w:spacing w:line="400" w:lineRule="exact"/>
        <w:rPr>
          <w:rFonts w:ascii="仿宋" w:hAnsi="仿宋" w:eastAsia="仿宋" w:cs="仿宋"/>
          <w:b/>
          <w:bCs/>
          <w:spacing w:val="2"/>
          <w:sz w:val="24"/>
          <w:szCs w:val="24"/>
        </w:rPr>
      </w:pPr>
      <w:r>
        <w:rPr>
          <w:rFonts w:hint="eastAsia" w:ascii="仿宋" w:hAnsi="仿宋" w:eastAsia="仿宋" w:cs="仿宋"/>
          <w:b/>
          <w:bCs/>
          <w:spacing w:val="2"/>
          <w:sz w:val="24"/>
          <w:szCs w:val="24"/>
        </w:rPr>
        <w:t>四、验收要求</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报告进度以及格式深度满足发改委项目申报和评审要求。验收方式，由国联研究院相关部门确认。</w:t>
      </w:r>
    </w:p>
    <w:p>
      <w:pPr>
        <w:tabs>
          <w:tab w:val="left" w:pos="900"/>
        </w:tabs>
        <w:ind w:left="723" w:hanging="723" w:hangingChars="300"/>
        <w:rPr>
          <w:rFonts w:ascii="仿宋" w:hAnsi="仿宋" w:eastAsia="仿宋" w:cs="仿宋"/>
          <w:b/>
          <w:kern w:val="0"/>
          <w:sz w:val="24"/>
          <w:szCs w:val="24"/>
        </w:rPr>
      </w:pPr>
    </w:p>
    <w:p>
      <w:pPr>
        <w:tabs>
          <w:tab w:val="left" w:pos="900"/>
        </w:tabs>
        <w:ind w:left="723" w:hanging="723" w:hangingChars="300"/>
        <w:rPr>
          <w:rFonts w:ascii="仿宋" w:hAnsi="仿宋" w:eastAsia="仿宋" w:cs="仿宋"/>
          <w:b/>
          <w:kern w:val="0"/>
          <w:sz w:val="24"/>
          <w:szCs w:val="24"/>
        </w:rPr>
      </w:pPr>
      <w:r>
        <w:rPr>
          <w:rFonts w:hint="eastAsia" w:ascii="仿宋" w:hAnsi="仿宋" w:eastAsia="仿宋" w:cs="仿宋"/>
          <w:b/>
          <w:kern w:val="0"/>
          <w:sz w:val="24"/>
          <w:szCs w:val="24"/>
        </w:rPr>
        <w:t>第三部分 招标评标办法</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b/>
          <w:bCs/>
          <w:spacing w:val="-3"/>
          <w:szCs w:val="24"/>
        </w:rPr>
        <w:t>1.总则：</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1.1评标原则：公平、公正、科学和择优；依法评标、严格保密；反对不正当竞争；</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1.2评审小组根据本办法及招标文件要求对投标人投标文件进行评审，由评审小组汇总后，确定中标人。</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2.评标内容、有关规定及说明：</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2.1评标内容包括：投标文件符合性与完整性、错误修正、综合评定。评审小组应当根据招标文件规定，对投标文件的实质性内容进行符合性与完整性评审，判定是否满足招标文件要求，如果投标文件属实质上不响应招标文件规定的，评审小组有权予以拒绝，以废标处理。投标文件符合性与完整性评审包括但不限于下述具体内容：</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2.1.1投标文件符合性与完整性评审</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按照招标文件规定的格式、内容打印或填写、装订，字迹清晰可辨；</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投标文件（投标书）中投标人法人印章、法定代表人的印鉴或者签字齐全（施工组织设计副本除外），如投标人存在授权的，其法定代表人的授权代理人的印鉴或者签字齐全，并提供合法、有效的法定代表人授权书；</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投标文件中不含有招标人无法接受的条件；</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2.2书面标评审</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书面标评审内容包括：资信、经济、技术三部分。具体评分表详见评审表。</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2.4评标程序</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2.4.1评审投标文件的有效性</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投标人投标属下列情况之一的，属于无效标书：</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凡投标的内容属实质性不符合招标文件要求的。</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投标人的投标行为违反本招标文件投标须知规定的。</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投标人拒绝本办法错误修正结果的。</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评标过程中，评审小组发现投标人以他人名义投标、串通投标、以行贿手段谋取中标或以其他弄虚作假方式投标的。</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投标人的投标行为违反招标投标法以及招标文件及本办法其它有关规定的。</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投标人对招标文件要求的重要内容未报价或者严重偏离的。</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2.4.2审核标书中重大偏差和细微偏差</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评审小组根据招标文件，审查并逐项列出各投标文件的投标偏差。有任何属于未实质性响应招标文件的重大偏差的投标文件，均应按照无效标书处理。有属于实质上响应招标文件的细微偏差的，评审小组将根据偏差的程度，就投标书对招标文件要求的具体响应程度进行评审。</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2.4.3质疑和答辩</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评审小组对投标书文件内容有疑问的，包括投标文件规定的细微偏差的，可以书面或答辩会形式向投标人质询并要求该投标人做出书面澄清或补正，但投标人的书面澄清或补正不得对投标文件做出实质性修改。质询工作或答辩会应当由全体评审小组成员参加。对于实质性不符合招标文件的，评审小组有权予以拒绝。</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质询工作或答辩会应做书面记录，招标人代表、评审小组成员及投标人应在记录上签字确认。拒绝响应或出席评审小组的质询或答辩会的投标人将失去中标的机会和可能。</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2.5定标阶段</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2.5.1只有有效投标评分从高到低前三名的投标人才具有中标资格，其余投标人均无中标资格。按照本办法和评审小组评审结果，确定综合评分最高的投标人为中标人。</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2.5.2如果排名第一的中标候选人放弃中标、因不可抗力提出不能履行合同，或中标人未在招标文件规定的期限内提交符合要求的履约保函的，招标人可以确定其它投标人为中标人。</w:t>
      </w:r>
    </w:p>
    <w:p>
      <w:pPr>
        <w:pStyle w:val="2"/>
        <w:framePr w:hSpace="0" w:vSpace="0" w:wrap="auto" w:vAnchor="margin" w:hAnchor="text" w:yAlign="inline"/>
        <w:spacing w:before="178" w:line="468" w:lineRule="exact"/>
        <w:rPr>
          <w:rFonts w:ascii="仿宋" w:hAnsi="仿宋" w:eastAsia="仿宋" w:cs="仿宋"/>
          <w:spacing w:val="-3"/>
          <w:szCs w:val="24"/>
        </w:rPr>
      </w:pPr>
      <w:r>
        <w:rPr>
          <w:rFonts w:hint="eastAsia" w:ascii="仿宋" w:hAnsi="仿宋" w:eastAsia="仿宋" w:cs="仿宋"/>
          <w:spacing w:val="-3"/>
          <w:szCs w:val="24"/>
        </w:rPr>
        <w:t>2.5.3如果出现中标候选人得分相同的情况，评审小组可以从中选择任一中标候选人作为本</w:t>
      </w:r>
      <w:r>
        <w:rPr>
          <w:rFonts w:hint="eastAsia" w:ascii="仿宋" w:hAnsi="仿宋" w:eastAsia="仿宋" w:cs="仿宋"/>
          <w:spacing w:val="-3"/>
          <w:szCs w:val="24"/>
          <w:lang w:eastAsia="zh-CN"/>
        </w:rPr>
        <w:t>项目</w:t>
      </w:r>
      <w:r>
        <w:rPr>
          <w:rFonts w:hint="eastAsia" w:ascii="仿宋" w:hAnsi="仿宋" w:eastAsia="仿宋" w:cs="仿宋"/>
          <w:spacing w:val="-3"/>
          <w:szCs w:val="24"/>
        </w:rPr>
        <w:t>的中标人。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幼圆">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737"/>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C131A"/>
    <w:multiLevelType w:val="multilevel"/>
    <w:tmpl w:val="0EAC131A"/>
    <w:lvl w:ilvl="0" w:tentative="0">
      <w:start w:val="1"/>
      <w:numFmt w:val="decimal"/>
      <w:pStyle w:val="8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1C42D7E"/>
    <w:multiLevelType w:val="multilevel"/>
    <w:tmpl w:val="11C42D7E"/>
    <w:lvl w:ilvl="0" w:tentative="0">
      <w:start w:val="1"/>
      <w:numFmt w:val="decimal"/>
      <w:pStyle w:val="3"/>
      <w:lvlText w:val="%1、"/>
      <w:lvlJc w:val="left"/>
      <w:pPr>
        <w:ind w:left="360" w:hanging="360"/>
      </w:pPr>
      <w:rPr>
        <w:rFonts w:hint="default"/>
      </w:rPr>
    </w:lvl>
    <w:lvl w:ilvl="1" w:tentative="0">
      <w:start w:val="1"/>
      <w:numFmt w:val="lowerLetter"/>
      <w:pStyle w:val="4"/>
      <w:lvlText w:val="%2)"/>
      <w:lvlJc w:val="left"/>
      <w:pPr>
        <w:ind w:left="840" w:hanging="420"/>
      </w:pPr>
    </w:lvl>
    <w:lvl w:ilvl="2" w:tentative="0">
      <w:start w:val="1"/>
      <w:numFmt w:val="lowerRoman"/>
      <w:pStyle w:val="5"/>
      <w:lvlText w:val="%3."/>
      <w:lvlJc w:val="right"/>
      <w:pPr>
        <w:ind w:left="1260" w:hanging="420"/>
      </w:p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2">
    <w:nsid w:val="12C25F5D"/>
    <w:multiLevelType w:val="multilevel"/>
    <w:tmpl w:val="12C25F5D"/>
    <w:lvl w:ilvl="0" w:tentative="0">
      <w:start w:val="1"/>
      <w:numFmt w:val="decimal"/>
      <w:lvlText w:val="%1."/>
      <w:lvlJc w:val="left"/>
      <w:pPr>
        <w:tabs>
          <w:tab w:val="left" w:pos="1260"/>
        </w:tabs>
        <w:ind w:left="1260" w:hanging="420"/>
      </w:pPr>
      <w:rPr>
        <w:rFonts w:hint="default"/>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3">
    <w:nsid w:val="2470EC97"/>
    <w:multiLevelType w:val="multilevel"/>
    <w:tmpl w:val="2470EC97"/>
    <w:lvl w:ilvl="0" w:tentative="0">
      <w:start w:val="1"/>
      <w:numFmt w:val="decimal"/>
      <w:lvlText w:val="%1"/>
      <w:lvlJc w:val="left"/>
      <w:pPr>
        <w:ind w:left="511" w:hanging="212"/>
      </w:pPr>
      <w:rPr>
        <w:rFonts w:hint="default" w:ascii="宋体" w:hAnsi="宋体" w:eastAsia="宋体" w:cs="宋体"/>
        <w:b/>
        <w:bCs/>
        <w:w w:val="99"/>
        <w:sz w:val="21"/>
        <w:szCs w:val="21"/>
        <w:lang w:val="zh-CN" w:eastAsia="zh-CN" w:bidi="zh-CN"/>
      </w:rPr>
    </w:lvl>
    <w:lvl w:ilvl="1" w:tentative="0">
      <w:start w:val="1"/>
      <w:numFmt w:val="decimal"/>
      <w:lvlText w:val="%1.%2"/>
      <w:lvlJc w:val="left"/>
      <w:pPr>
        <w:ind w:left="722" w:hanging="423"/>
      </w:pPr>
      <w:rPr>
        <w:rFonts w:hint="default"/>
        <w:b/>
        <w:bCs/>
        <w:w w:val="99"/>
        <w:lang w:val="zh-CN" w:eastAsia="zh-CN" w:bidi="zh-CN"/>
      </w:rPr>
    </w:lvl>
    <w:lvl w:ilvl="2" w:tentative="0">
      <w:start w:val="1"/>
      <w:numFmt w:val="decimal"/>
      <w:lvlText w:val="%1.%2.%3"/>
      <w:lvlJc w:val="left"/>
      <w:pPr>
        <w:ind w:left="300" w:hanging="423"/>
      </w:pPr>
      <w:rPr>
        <w:rFonts w:hint="default" w:ascii="宋体" w:hAnsi="宋体" w:eastAsia="宋体" w:cs="宋体"/>
        <w:w w:val="100"/>
        <w:sz w:val="21"/>
        <w:szCs w:val="21"/>
        <w:lang w:val="zh-CN" w:eastAsia="zh-CN" w:bidi="zh-CN"/>
      </w:rPr>
    </w:lvl>
    <w:lvl w:ilvl="3" w:tentative="0">
      <w:start w:val="0"/>
      <w:numFmt w:val="bullet"/>
      <w:lvlText w:val="•"/>
      <w:lvlJc w:val="left"/>
      <w:pPr>
        <w:ind w:left="1360" w:hanging="423"/>
      </w:pPr>
      <w:rPr>
        <w:rFonts w:hint="default"/>
        <w:lang w:val="zh-CN" w:eastAsia="zh-CN" w:bidi="zh-CN"/>
      </w:rPr>
    </w:lvl>
    <w:lvl w:ilvl="4" w:tentative="0">
      <w:start w:val="0"/>
      <w:numFmt w:val="bullet"/>
      <w:lvlText w:val="•"/>
      <w:lvlJc w:val="left"/>
      <w:pPr>
        <w:ind w:left="2500" w:hanging="423"/>
      </w:pPr>
      <w:rPr>
        <w:rFonts w:hint="default"/>
        <w:lang w:val="zh-CN" w:eastAsia="zh-CN" w:bidi="zh-CN"/>
      </w:rPr>
    </w:lvl>
    <w:lvl w:ilvl="5" w:tentative="0">
      <w:start w:val="0"/>
      <w:numFmt w:val="bullet"/>
      <w:lvlText w:val="•"/>
      <w:lvlJc w:val="left"/>
      <w:pPr>
        <w:ind w:left="3641" w:hanging="423"/>
      </w:pPr>
      <w:rPr>
        <w:rFonts w:hint="default"/>
        <w:lang w:val="zh-CN" w:eastAsia="zh-CN" w:bidi="zh-CN"/>
      </w:rPr>
    </w:lvl>
    <w:lvl w:ilvl="6" w:tentative="0">
      <w:start w:val="0"/>
      <w:numFmt w:val="bullet"/>
      <w:lvlText w:val="•"/>
      <w:lvlJc w:val="left"/>
      <w:pPr>
        <w:ind w:left="4782" w:hanging="423"/>
      </w:pPr>
      <w:rPr>
        <w:rFonts w:hint="default"/>
        <w:lang w:val="zh-CN" w:eastAsia="zh-CN" w:bidi="zh-CN"/>
      </w:rPr>
    </w:lvl>
    <w:lvl w:ilvl="7" w:tentative="0">
      <w:start w:val="0"/>
      <w:numFmt w:val="bullet"/>
      <w:lvlText w:val="•"/>
      <w:lvlJc w:val="left"/>
      <w:pPr>
        <w:ind w:left="5923" w:hanging="423"/>
      </w:pPr>
      <w:rPr>
        <w:rFonts w:hint="default"/>
        <w:lang w:val="zh-CN" w:eastAsia="zh-CN" w:bidi="zh-CN"/>
      </w:rPr>
    </w:lvl>
    <w:lvl w:ilvl="8" w:tentative="0">
      <w:start w:val="0"/>
      <w:numFmt w:val="bullet"/>
      <w:lvlText w:val="•"/>
      <w:lvlJc w:val="left"/>
      <w:pPr>
        <w:ind w:left="7064" w:hanging="423"/>
      </w:pPr>
      <w:rPr>
        <w:rFonts w:hint="default"/>
        <w:lang w:val="zh-CN" w:eastAsia="zh-CN" w:bidi="zh-CN"/>
      </w:rPr>
    </w:lvl>
  </w:abstractNum>
  <w:abstractNum w:abstractNumId="4">
    <w:nsid w:val="7CFE0286"/>
    <w:multiLevelType w:val="multilevel"/>
    <w:tmpl w:val="7CFE0286"/>
    <w:lvl w:ilvl="0" w:tentative="0">
      <w:start w:val="5"/>
      <w:numFmt w:val="chineseCountingThousand"/>
      <w:pStyle w:val="62"/>
      <w:lvlText w:val="第%1部分"/>
      <w:lvlJc w:val="left"/>
      <w:pPr>
        <w:tabs>
          <w:tab w:val="left" w:pos="1418"/>
        </w:tabs>
        <w:ind w:left="0" w:firstLine="0"/>
      </w:pPr>
      <w:rPr>
        <w:rFonts w:hint="eastAsia"/>
      </w:rPr>
    </w:lvl>
    <w:lvl w:ilvl="1" w:tentative="0">
      <w:start w:val="1"/>
      <w:numFmt w:val="decimal"/>
      <w:isLgl/>
      <w:lvlText w:val="%1.%2"/>
      <w:lvlJc w:val="left"/>
      <w:pPr>
        <w:tabs>
          <w:tab w:val="left" w:pos="680"/>
        </w:tabs>
        <w:ind w:left="680" w:hanging="680"/>
      </w:pPr>
      <w:rPr>
        <w:rFonts w:hint="eastAsia"/>
        <w:lang w:val="en-US"/>
      </w:rPr>
    </w:lvl>
    <w:lvl w:ilvl="2" w:tentative="0">
      <w:start w:val="1"/>
      <w:numFmt w:val="decimal"/>
      <w:isLgl/>
      <w:lvlText w:val="%1.%2.%3"/>
      <w:lvlJc w:val="left"/>
      <w:pPr>
        <w:tabs>
          <w:tab w:val="left" w:pos="1049"/>
        </w:tabs>
        <w:ind w:left="1049" w:hanging="907"/>
      </w:pPr>
      <w:rPr>
        <w:rFonts w:hint="eastAsia"/>
      </w:rPr>
    </w:lvl>
    <w:lvl w:ilvl="3" w:tentative="0">
      <w:start w:val="1"/>
      <w:numFmt w:val="decimal"/>
      <w:lvlText w:val="%4、"/>
      <w:lvlJc w:val="left"/>
      <w:pPr>
        <w:tabs>
          <w:tab w:val="left" w:pos="851"/>
        </w:tabs>
        <w:ind w:left="851" w:hanging="567"/>
      </w:pPr>
      <w:rPr>
        <w:rFonts w:hint="eastAsia"/>
      </w:rPr>
    </w:lvl>
    <w:lvl w:ilvl="4" w:tentative="0">
      <w:start w:val="1"/>
      <w:numFmt w:val="decimal"/>
      <w:lvlText w:val="(%5)"/>
      <w:lvlJc w:val="left"/>
      <w:pPr>
        <w:tabs>
          <w:tab w:val="left" w:pos="1021"/>
        </w:tabs>
        <w:ind w:left="1021" w:hanging="681"/>
      </w:pPr>
      <w:rPr>
        <w:rFonts w:hint="eastAsia"/>
      </w:rPr>
    </w:lvl>
    <w:lvl w:ilvl="5" w:tentative="0">
      <w:start w:val="1"/>
      <w:numFmt w:val="bullet"/>
      <w:lvlText w:val=""/>
      <w:lvlJc w:val="left"/>
      <w:pPr>
        <w:ind w:left="1134" w:hanging="567"/>
      </w:pPr>
      <w:rPr>
        <w:rFonts w:hint="default" w:ascii="Symbol" w:hAnsi="Symbol"/>
        <w:color w:val="auto"/>
      </w:rPr>
    </w:lvl>
    <w:lvl w:ilvl="6" w:tentative="0">
      <w:start w:val="1"/>
      <w:numFmt w:val="none"/>
      <w:suff w:val="space"/>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0ZDBhOGM1NDRkZmUxMzcwN2MyYTcxZDRjNDgwNzEifQ=="/>
  </w:docVars>
  <w:rsids>
    <w:rsidRoot w:val="00CD2110"/>
    <w:rsid w:val="00030790"/>
    <w:rsid w:val="00063CC2"/>
    <w:rsid w:val="000B7E73"/>
    <w:rsid w:val="000C196C"/>
    <w:rsid w:val="001222A5"/>
    <w:rsid w:val="00142912"/>
    <w:rsid w:val="00146CBD"/>
    <w:rsid w:val="001501C7"/>
    <w:rsid w:val="00196691"/>
    <w:rsid w:val="001D635F"/>
    <w:rsid w:val="002636B2"/>
    <w:rsid w:val="00292CE7"/>
    <w:rsid w:val="002E0AC1"/>
    <w:rsid w:val="002E4F94"/>
    <w:rsid w:val="002E5F2A"/>
    <w:rsid w:val="003063E1"/>
    <w:rsid w:val="0031337A"/>
    <w:rsid w:val="003C3F81"/>
    <w:rsid w:val="003F7171"/>
    <w:rsid w:val="00402690"/>
    <w:rsid w:val="004A1938"/>
    <w:rsid w:val="004B627B"/>
    <w:rsid w:val="004C065D"/>
    <w:rsid w:val="0056736E"/>
    <w:rsid w:val="005869BF"/>
    <w:rsid w:val="00595542"/>
    <w:rsid w:val="005D1D7D"/>
    <w:rsid w:val="00605283"/>
    <w:rsid w:val="006158F5"/>
    <w:rsid w:val="006C1CFC"/>
    <w:rsid w:val="006D01EA"/>
    <w:rsid w:val="00773A61"/>
    <w:rsid w:val="00820E69"/>
    <w:rsid w:val="0083240E"/>
    <w:rsid w:val="00852733"/>
    <w:rsid w:val="00853EA5"/>
    <w:rsid w:val="008B5CFB"/>
    <w:rsid w:val="0096164A"/>
    <w:rsid w:val="00977B36"/>
    <w:rsid w:val="009A199F"/>
    <w:rsid w:val="009A6C30"/>
    <w:rsid w:val="009B070D"/>
    <w:rsid w:val="00A66110"/>
    <w:rsid w:val="00A662CF"/>
    <w:rsid w:val="00A81879"/>
    <w:rsid w:val="00A86CFE"/>
    <w:rsid w:val="00A9592A"/>
    <w:rsid w:val="00AB07EB"/>
    <w:rsid w:val="00B43BA7"/>
    <w:rsid w:val="00B66576"/>
    <w:rsid w:val="00B93922"/>
    <w:rsid w:val="00BA56B1"/>
    <w:rsid w:val="00BB353F"/>
    <w:rsid w:val="00BC6A4D"/>
    <w:rsid w:val="00BD5982"/>
    <w:rsid w:val="00BE0F25"/>
    <w:rsid w:val="00C3244A"/>
    <w:rsid w:val="00C477F7"/>
    <w:rsid w:val="00CA6065"/>
    <w:rsid w:val="00CD2110"/>
    <w:rsid w:val="00CD7959"/>
    <w:rsid w:val="00D44BD0"/>
    <w:rsid w:val="00D4503F"/>
    <w:rsid w:val="00D450DF"/>
    <w:rsid w:val="00D93794"/>
    <w:rsid w:val="00DB544C"/>
    <w:rsid w:val="00DC431F"/>
    <w:rsid w:val="00DF4E29"/>
    <w:rsid w:val="00E65215"/>
    <w:rsid w:val="00EE18EE"/>
    <w:rsid w:val="00F13639"/>
    <w:rsid w:val="00F21708"/>
    <w:rsid w:val="00F25425"/>
    <w:rsid w:val="00F350F0"/>
    <w:rsid w:val="00F73F11"/>
    <w:rsid w:val="00FA46CF"/>
    <w:rsid w:val="00FF5515"/>
    <w:rsid w:val="0D7C2C0E"/>
    <w:rsid w:val="0D8446E2"/>
    <w:rsid w:val="12D33C58"/>
    <w:rsid w:val="13535242"/>
    <w:rsid w:val="249C18E3"/>
    <w:rsid w:val="34E011AA"/>
    <w:rsid w:val="353B23C3"/>
    <w:rsid w:val="37536482"/>
    <w:rsid w:val="37D51750"/>
    <w:rsid w:val="384A30E3"/>
    <w:rsid w:val="392F5740"/>
    <w:rsid w:val="47AB6AEC"/>
    <w:rsid w:val="6A0D6A37"/>
    <w:rsid w:val="71A06A54"/>
    <w:rsid w:val="7BEE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40"/>
    <w:qFormat/>
    <w:uiPriority w:val="0"/>
    <w:pPr>
      <w:pageBreakBefore/>
      <w:widowControl/>
      <w:numPr>
        <w:ilvl w:val="0"/>
        <w:numId w:val="1"/>
      </w:numPr>
      <w:tabs>
        <w:tab w:val="left" w:pos="1418"/>
      </w:tabs>
      <w:spacing w:before="156" w:beforeLines="50" w:after="468" w:afterLines="150"/>
      <w:jc w:val="center"/>
      <w:outlineLvl w:val="0"/>
    </w:pPr>
    <w:rPr>
      <w:rFonts w:ascii="黑体" w:hAnsi="宋体" w:eastAsia="黑体" w:cs="Times New Roman"/>
      <w:bCs/>
      <w:kern w:val="44"/>
      <w:sz w:val="30"/>
      <w:szCs w:val="28"/>
    </w:rPr>
  </w:style>
  <w:style w:type="paragraph" w:styleId="4">
    <w:name w:val="heading 2"/>
    <w:basedOn w:val="1"/>
    <w:next w:val="1"/>
    <w:link w:val="41"/>
    <w:qFormat/>
    <w:uiPriority w:val="0"/>
    <w:pPr>
      <w:widowControl/>
      <w:numPr>
        <w:ilvl w:val="1"/>
        <w:numId w:val="1"/>
      </w:numPr>
      <w:tabs>
        <w:tab w:val="left" w:pos="680"/>
      </w:tabs>
      <w:spacing w:beforeLines="50" w:afterLines="50"/>
      <w:jc w:val="left"/>
      <w:outlineLvl w:val="1"/>
    </w:pPr>
    <w:rPr>
      <w:rFonts w:ascii="宋体" w:hAnsi="宋体" w:eastAsia="宋体" w:cs="Times New Roman"/>
      <w:b/>
      <w:bCs/>
      <w:kern w:val="0"/>
      <w:sz w:val="24"/>
      <w:szCs w:val="28"/>
    </w:rPr>
  </w:style>
  <w:style w:type="paragraph" w:styleId="5">
    <w:name w:val="heading 3"/>
    <w:basedOn w:val="4"/>
    <w:next w:val="1"/>
    <w:link w:val="42"/>
    <w:qFormat/>
    <w:uiPriority w:val="0"/>
    <w:pPr>
      <w:numPr>
        <w:ilvl w:val="2"/>
      </w:numPr>
      <w:tabs>
        <w:tab w:val="left" w:pos="1049"/>
      </w:tabs>
      <w:spacing w:beforeLines="0" w:afterLines="0" w:line="240" w:lineRule="atLeast"/>
      <w:outlineLvl w:val="2"/>
    </w:pPr>
    <w:rPr>
      <w:b w:val="0"/>
      <w:szCs w:val="24"/>
    </w:rPr>
  </w:style>
  <w:style w:type="paragraph" w:styleId="6">
    <w:name w:val="heading 4"/>
    <w:basedOn w:val="1"/>
    <w:next w:val="1"/>
    <w:link w:val="43"/>
    <w:qFormat/>
    <w:uiPriority w:val="0"/>
    <w:pPr>
      <w:widowControl/>
      <w:numPr>
        <w:ilvl w:val="3"/>
        <w:numId w:val="1"/>
      </w:numPr>
      <w:tabs>
        <w:tab w:val="left" w:pos="851"/>
      </w:tabs>
      <w:spacing w:line="360" w:lineRule="auto"/>
      <w:jc w:val="left"/>
      <w:outlineLvl w:val="3"/>
    </w:pPr>
    <w:rPr>
      <w:rFonts w:ascii="宋体" w:hAnsi="宋体" w:eastAsia="宋体" w:cs="Times New Roman"/>
      <w:bCs/>
      <w:kern w:val="0"/>
      <w:sz w:val="24"/>
      <w:szCs w:val="24"/>
    </w:rPr>
  </w:style>
  <w:style w:type="paragraph" w:styleId="7">
    <w:name w:val="heading 5"/>
    <w:basedOn w:val="1"/>
    <w:next w:val="1"/>
    <w:link w:val="44"/>
    <w:qFormat/>
    <w:uiPriority w:val="0"/>
    <w:pPr>
      <w:widowControl/>
      <w:numPr>
        <w:ilvl w:val="4"/>
        <w:numId w:val="1"/>
      </w:numPr>
      <w:tabs>
        <w:tab w:val="left" w:pos="1021"/>
      </w:tabs>
      <w:snapToGrid w:val="0"/>
      <w:spacing w:beforeLines="50" w:afterLines="50"/>
      <w:contextualSpacing/>
      <w:jc w:val="left"/>
      <w:outlineLvl w:val="4"/>
    </w:pPr>
    <w:rPr>
      <w:rFonts w:ascii="Calibri" w:hAnsi="Calibri" w:eastAsia="宋体" w:cs="Times New Roman"/>
      <w:bCs/>
      <w:kern w:val="0"/>
      <w:sz w:val="24"/>
      <w:szCs w:val="28"/>
    </w:rPr>
  </w:style>
  <w:style w:type="paragraph" w:styleId="8">
    <w:name w:val="heading 6"/>
    <w:basedOn w:val="1"/>
    <w:next w:val="1"/>
    <w:link w:val="45"/>
    <w:qFormat/>
    <w:uiPriority w:val="0"/>
    <w:pPr>
      <w:widowControl/>
      <w:numPr>
        <w:ilvl w:val="5"/>
        <w:numId w:val="1"/>
      </w:numPr>
      <w:spacing w:before="120" w:after="120" w:line="240" w:lineRule="atLeast"/>
      <w:contextualSpacing/>
      <w:jc w:val="left"/>
      <w:outlineLvl w:val="5"/>
    </w:pPr>
    <w:rPr>
      <w:rFonts w:ascii="Cambria" w:hAnsi="Cambria" w:eastAsia="宋体" w:cs="Times New Roman"/>
      <w:bCs/>
      <w:kern w:val="0"/>
      <w:sz w:val="24"/>
      <w:szCs w:val="24"/>
    </w:rPr>
  </w:style>
  <w:style w:type="paragraph" w:styleId="9">
    <w:name w:val="heading 7"/>
    <w:basedOn w:val="1"/>
    <w:next w:val="1"/>
    <w:link w:val="46"/>
    <w:qFormat/>
    <w:uiPriority w:val="0"/>
    <w:pPr>
      <w:keepNext/>
      <w:keepLines/>
      <w:widowControl/>
      <w:numPr>
        <w:ilvl w:val="6"/>
        <w:numId w:val="1"/>
      </w:numPr>
      <w:spacing w:before="240" w:after="64" w:line="320" w:lineRule="auto"/>
      <w:jc w:val="left"/>
      <w:outlineLvl w:val="6"/>
    </w:pPr>
    <w:rPr>
      <w:rFonts w:ascii="Calibri" w:hAnsi="Calibri" w:eastAsia="宋体" w:cs="Times New Roman"/>
      <w:b/>
      <w:bCs/>
      <w:kern w:val="0"/>
      <w:sz w:val="24"/>
      <w:szCs w:val="24"/>
    </w:rPr>
  </w:style>
  <w:style w:type="paragraph" w:styleId="10">
    <w:name w:val="heading 8"/>
    <w:basedOn w:val="1"/>
    <w:next w:val="1"/>
    <w:link w:val="47"/>
    <w:qFormat/>
    <w:uiPriority w:val="0"/>
    <w:pPr>
      <w:keepNext/>
      <w:keepLines/>
      <w:widowControl/>
      <w:numPr>
        <w:ilvl w:val="7"/>
        <w:numId w:val="1"/>
      </w:numPr>
      <w:spacing w:before="240" w:after="64" w:line="320" w:lineRule="auto"/>
      <w:jc w:val="left"/>
      <w:outlineLvl w:val="7"/>
    </w:pPr>
    <w:rPr>
      <w:rFonts w:ascii="Cambria" w:hAnsi="Cambria" w:eastAsia="宋体" w:cs="Times New Roman"/>
      <w:kern w:val="0"/>
      <w:sz w:val="24"/>
      <w:szCs w:val="24"/>
    </w:rPr>
  </w:style>
  <w:style w:type="paragraph" w:styleId="11">
    <w:name w:val="heading 9"/>
    <w:basedOn w:val="1"/>
    <w:next w:val="1"/>
    <w:link w:val="48"/>
    <w:qFormat/>
    <w:uiPriority w:val="0"/>
    <w:pPr>
      <w:keepNext/>
      <w:keepLines/>
      <w:widowControl/>
      <w:numPr>
        <w:ilvl w:val="8"/>
        <w:numId w:val="1"/>
      </w:numPr>
      <w:spacing w:before="240" w:after="64" w:line="320" w:lineRule="auto"/>
      <w:jc w:val="left"/>
      <w:outlineLvl w:val="8"/>
    </w:pPr>
    <w:rPr>
      <w:rFonts w:ascii="Cambria" w:hAnsi="Cambria" w:eastAsia="宋体" w:cs="Times New Roman"/>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qFormat/>
    <w:uiPriority w:val="0"/>
    <w:pPr>
      <w:framePr w:hSpace="181" w:vSpace="181" w:wrap="notBeside" w:vAnchor="text" w:hAnchor="text" w:y="1"/>
      <w:snapToGrid w:val="0"/>
      <w:spacing w:line="360" w:lineRule="atLeast"/>
    </w:pPr>
    <w:rPr>
      <w:rFonts w:ascii="Arial Black" w:hAnsi="Arial Black" w:eastAsia="幼圆" w:cs="Times New Roman"/>
      <w:sz w:val="24"/>
      <w:szCs w:val="20"/>
    </w:rPr>
  </w:style>
  <w:style w:type="paragraph" w:styleId="12">
    <w:name w:val="Normal Indent"/>
    <w:basedOn w:val="1"/>
    <w:qFormat/>
    <w:uiPriority w:val="0"/>
    <w:pPr>
      <w:ind w:firstLine="420"/>
    </w:pPr>
    <w:rPr>
      <w:rFonts w:ascii="Times New Roman" w:hAnsi="Times New Roman" w:eastAsia="宋体" w:cs="Times New Roman"/>
      <w:sz w:val="28"/>
      <w:szCs w:val="20"/>
    </w:rPr>
  </w:style>
  <w:style w:type="paragraph" w:styleId="13">
    <w:name w:val="Document Map"/>
    <w:basedOn w:val="1"/>
    <w:link w:val="49"/>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50"/>
    <w:semiHidden/>
    <w:qFormat/>
    <w:uiPriority w:val="0"/>
    <w:pPr>
      <w:jc w:val="left"/>
    </w:pPr>
    <w:rPr>
      <w:rFonts w:ascii="Times New Roman" w:hAnsi="Times New Roman" w:eastAsia="宋体" w:cs="Times New Roman"/>
      <w:szCs w:val="24"/>
    </w:rPr>
  </w:style>
  <w:style w:type="paragraph" w:styleId="15">
    <w:name w:val="Body Text Indent"/>
    <w:basedOn w:val="1"/>
    <w:next w:val="16"/>
    <w:link w:val="52"/>
    <w:qFormat/>
    <w:uiPriority w:val="0"/>
    <w:pPr>
      <w:spacing w:line="400" w:lineRule="exact"/>
      <w:ind w:left="718" w:leftChars="342"/>
    </w:pPr>
    <w:rPr>
      <w:rFonts w:ascii="宋体" w:hAnsi="宋体" w:eastAsia="宋体" w:cs="Times New Roman"/>
      <w:szCs w:val="21"/>
    </w:rPr>
  </w:style>
  <w:style w:type="paragraph" w:styleId="16">
    <w:name w:val="envelope return"/>
    <w:basedOn w:val="1"/>
    <w:next w:val="17"/>
    <w:qFormat/>
    <w:uiPriority w:val="0"/>
    <w:pPr>
      <w:snapToGrid w:val="0"/>
    </w:pPr>
    <w:rPr>
      <w:rFonts w:ascii="Arial" w:hAnsi="Arial"/>
    </w:rPr>
  </w:style>
  <w:style w:type="paragraph" w:styleId="17">
    <w:name w:val="Title"/>
    <w:basedOn w:val="1"/>
    <w:next w:val="1"/>
    <w:link w:val="58"/>
    <w:qFormat/>
    <w:uiPriority w:val="0"/>
    <w:pPr>
      <w:widowControl/>
      <w:adjustRightInd w:val="0"/>
      <w:snapToGrid w:val="0"/>
      <w:jc w:val="center"/>
    </w:pPr>
    <w:rPr>
      <w:rFonts w:ascii="宋体" w:hAnsi="宋体" w:eastAsia="宋体" w:cs="Times New Roman"/>
      <w:b/>
      <w:color w:val="000000"/>
      <w:kern w:val="0"/>
      <w:sz w:val="44"/>
      <w:szCs w:val="52"/>
    </w:rPr>
  </w:style>
  <w:style w:type="paragraph" w:styleId="18">
    <w:name w:val="toc 3"/>
    <w:basedOn w:val="1"/>
    <w:next w:val="1"/>
    <w:unhideWhenUsed/>
    <w:qFormat/>
    <w:uiPriority w:val="0"/>
    <w:pPr>
      <w:widowControl/>
      <w:ind w:left="200" w:leftChars="200"/>
      <w:jc w:val="left"/>
    </w:pPr>
    <w:rPr>
      <w:rFonts w:ascii="Calibri" w:hAnsi="Calibri" w:eastAsia="宋体" w:cs="Times New Roman"/>
      <w:kern w:val="0"/>
      <w:szCs w:val="24"/>
    </w:rPr>
  </w:style>
  <w:style w:type="paragraph" w:styleId="19">
    <w:name w:val="Date"/>
    <w:basedOn w:val="1"/>
    <w:next w:val="1"/>
    <w:link w:val="53"/>
    <w:qFormat/>
    <w:uiPriority w:val="0"/>
    <w:pPr>
      <w:ind w:left="100" w:leftChars="2500"/>
    </w:pPr>
    <w:rPr>
      <w:rFonts w:ascii="Times New Roman" w:hAnsi="Times New Roman" w:eastAsia="宋体" w:cs="Times New Roman"/>
      <w:szCs w:val="24"/>
    </w:rPr>
  </w:style>
  <w:style w:type="paragraph" w:styleId="20">
    <w:name w:val="Body Text Indent 2"/>
    <w:basedOn w:val="1"/>
    <w:link w:val="54"/>
    <w:qFormat/>
    <w:uiPriority w:val="0"/>
    <w:pPr>
      <w:snapToGrid w:val="0"/>
      <w:spacing w:line="400" w:lineRule="exact"/>
      <w:ind w:left="735" w:leftChars="350"/>
    </w:pPr>
    <w:rPr>
      <w:rFonts w:ascii="宋体" w:hAnsi="宋体" w:eastAsia="宋体" w:cs="Times New Roman"/>
      <w:szCs w:val="21"/>
    </w:rPr>
  </w:style>
  <w:style w:type="paragraph" w:styleId="21">
    <w:name w:val="Balloon Text"/>
    <w:basedOn w:val="1"/>
    <w:link w:val="55"/>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0"/>
    <w:pPr>
      <w:tabs>
        <w:tab w:val="center" w:pos="4153"/>
        <w:tab w:val="right" w:pos="8306"/>
      </w:tabs>
      <w:snapToGrid w:val="0"/>
      <w:jc w:val="left"/>
    </w:pPr>
    <w:rPr>
      <w:sz w:val="18"/>
      <w:szCs w:val="18"/>
    </w:rPr>
  </w:style>
  <w:style w:type="paragraph" w:styleId="2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0"/>
    <w:pPr>
      <w:widowControl/>
      <w:tabs>
        <w:tab w:val="left" w:pos="1260"/>
        <w:tab w:val="right" w:leader="dot" w:pos="8302"/>
      </w:tabs>
      <w:spacing w:before="120"/>
      <w:jc w:val="left"/>
    </w:pPr>
    <w:rPr>
      <w:rFonts w:ascii="Calibri" w:hAnsi="Calibri" w:eastAsia="宋体" w:cs="Times New Roman"/>
      <w:b/>
      <w:kern w:val="0"/>
      <w:sz w:val="24"/>
      <w:szCs w:val="24"/>
    </w:rPr>
  </w:style>
  <w:style w:type="paragraph" w:styleId="25">
    <w:name w:val="Subtitle"/>
    <w:basedOn w:val="1"/>
    <w:next w:val="1"/>
    <w:link w:val="56"/>
    <w:qFormat/>
    <w:uiPriority w:val="0"/>
    <w:pPr>
      <w:widowControl/>
      <w:spacing w:before="240" w:after="60" w:line="312" w:lineRule="auto"/>
      <w:jc w:val="center"/>
    </w:pPr>
    <w:rPr>
      <w:rFonts w:ascii="Cambria" w:hAnsi="Cambria" w:eastAsia="宋体" w:cs="Times New Roman"/>
      <w:b/>
      <w:bCs/>
      <w:kern w:val="28"/>
      <w:sz w:val="32"/>
      <w:szCs w:val="32"/>
    </w:rPr>
  </w:style>
  <w:style w:type="paragraph" w:styleId="26">
    <w:name w:val="toc 2"/>
    <w:basedOn w:val="1"/>
    <w:next w:val="1"/>
    <w:unhideWhenUsed/>
    <w:qFormat/>
    <w:uiPriority w:val="0"/>
    <w:pPr>
      <w:widowControl/>
      <w:ind w:left="284"/>
      <w:jc w:val="left"/>
    </w:pPr>
    <w:rPr>
      <w:rFonts w:ascii="Calibri" w:hAnsi="Calibri" w:eastAsia="宋体" w:cs="Times New Roman"/>
      <w:kern w:val="0"/>
      <w:sz w:val="24"/>
      <w:szCs w:val="24"/>
    </w:rPr>
  </w:style>
  <w:style w:type="paragraph" w:styleId="27">
    <w:name w:val="Body Text 2"/>
    <w:basedOn w:val="1"/>
    <w:link w:val="57"/>
    <w:qFormat/>
    <w:uiPriority w:val="0"/>
    <w:pPr>
      <w:spacing w:after="120" w:line="480" w:lineRule="auto"/>
    </w:pPr>
    <w:rPr>
      <w:rFonts w:ascii="Times New Roman" w:hAnsi="Times New Roman" w:eastAsia="宋体" w:cs="Times New Roman"/>
      <w:szCs w:val="24"/>
    </w:rPr>
  </w:style>
  <w:style w:type="paragraph" w:styleId="28">
    <w:name w:val="Normal (Web)"/>
    <w:basedOn w:val="1"/>
    <w:qFormat/>
    <w:uiPriority w:val="0"/>
    <w:pPr>
      <w:widowControl/>
      <w:spacing w:before="100" w:after="100"/>
      <w:jc w:val="left"/>
    </w:pPr>
    <w:rPr>
      <w:rFonts w:ascii="宋体" w:hAnsi="宋体" w:eastAsia="宋体" w:cs="Times New Roman"/>
      <w:kern w:val="0"/>
      <w:sz w:val="24"/>
      <w:szCs w:val="20"/>
    </w:rPr>
  </w:style>
  <w:style w:type="paragraph" w:styleId="29">
    <w:name w:val="annotation subject"/>
    <w:basedOn w:val="14"/>
    <w:next w:val="14"/>
    <w:link w:val="59"/>
    <w:semiHidden/>
    <w:qFormat/>
    <w:uiPriority w:val="0"/>
    <w:rPr>
      <w:b/>
      <w:bCs/>
    </w:rPr>
  </w:style>
  <w:style w:type="paragraph" w:styleId="30">
    <w:name w:val="Body Text First Indent 2"/>
    <w:basedOn w:val="15"/>
    <w:next w:val="1"/>
    <w:qFormat/>
    <w:uiPriority w:val="0"/>
    <w:pPr>
      <w:spacing w:after="120" w:line="240" w:lineRule="auto"/>
      <w:ind w:left="420" w:leftChars="200" w:firstLine="420" w:firstLineChars="200"/>
    </w:pPr>
    <w:rPr>
      <w:rFonts w:ascii="PMingLiU" w:hAnsi="PMingLiU" w:eastAsia="PMingLiU" w:cs="PMingLiU"/>
      <w:szCs w:val="22"/>
      <w:lang w:val="zh-CN" w:bidi="zh-CN"/>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Hyperlink"/>
    <w:qFormat/>
    <w:uiPriority w:val="0"/>
    <w:rPr>
      <w:color w:val="261CDC"/>
      <w:u w:val="single"/>
    </w:rPr>
  </w:style>
  <w:style w:type="character" w:styleId="37">
    <w:name w:val="annotation reference"/>
    <w:qFormat/>
    <w:uiPriority w:val="0"/>
    <w:rPr>
      <w:sz w:val="21"/>
      <w:szCs w:val="21"/>
    </w:rPr>
  </w:style>
  <w:style w:type="character" w:customStyle="1" w:styleId="38">
    <w:name w:val="页眉 字符"/>
    <w:basedOn w:val="33"/>
    <w:link w:val="23"/>
    <w:qFormat/>
    <w:uiPriority w:val="0"/>
    <w:rPr>
      <w:sz w:val="18"/>
      <w:szCs w:val="18"/>
    </w:rPr>
  </w:style>
  <w:style w:type="character" w:customStyle="1" w:styleId="39">
    <w:name w:val="页脚 字符"/>
    <w:basedOn w:val="33"/>
    <w:link w:val="22"/>
    <w:qFormat/>
    <w:uiPriority w:val="0"/>
    <w:rPr>
      <w:sz w:val="18"/>
      <w:szCs w:val="18"/>
    </w:rPr>
  </w:style>
  <w:style w:type="character" w:customStyle="1" w:styleId="40">
    <w:name w:val="标题 1 字符"/>
    <w:basedOn w:val="33"/>
    <w:link w:val="3"/>
    <w:qFormat/>
    <w:uiPriority w:val="0"/>
    <w:rPr>
      <w:rFonts w:ascii="黑体" w:hAnsi="宋体" w:eastAsia="黑体" w:cs="Times New Roman"/>
      <w:bCs/>
      <w:kern w:val="44"/>
      <w:sz w:val="30"/>
      <w:szCs w:val="28"/>
    </w:rPr>
  </w:style>
  <w:style w:type="character" w:customStyle="1" w:styleId="41">
    <w:name w:val="标题 2 字符"/>
    <w:basedOn w:val="33"/>
    <w:link w:val="4"/>
    <w:qFormat/>
    <w:uiPriority w:val="0"/>
    <w:rPr>
      <w:rFonts w:ascii="宋体" w:hAnsi="宋体" w:eastAsia="宋体" w:cs="Times New Roman"/>
      <w:b/>
      <w:bCs/>
      <w:kern w:val="0"/>
      <w:sz w:val="24"/>
      <w:szCs w:val="28"/>
    </w:rPr>
  </w:style>
  <w:style w:type="character" w:customStyle="1" w:styleId="42">
    <w:name w:val="标题 3 字符"/>
    <w:basedOn w:val="33"/>
    <w:link w:val="5"/>
    <w:qFormat/>
    <w:uiPriority w:val="0"/>
    <w:rPr>
      <w:rFonts w:ascii="宋体" w:hAnsi="宋体" w:eastAsia="宋体" w:cs="Times New Roman"/>
      <w:bCs/>
      <w:kern w:val="0"/>
      <w:sz w:val="24"/>
      <w:szCs w:val="24"/>
    </w:rPr>
  </w:style>
  <w:style w:type="character" w:customStyle="1" w:styleId="43">
    <w:name w:val="标题 4 字符"/>
    <w:basedOn w:val="33"/>
    <w:link w:val="6"/>
    <w:qFormat/>
    <w:uiPriority w:val="0"/>
    <w:rPr>
      <w:rFonts w:ascii="宋体" w:hAnsi="宋体" w:eastAsia="宋体" w:cs="Times New Roman"/>
      <w:bCs/>
      <w:kern w:val="0"/>
      <w:sz w:val="24"/>
      <w:szCs w:val="24"/>
    </w:rPr>
  </w:style>
  <w:style w:type="character" w:customStyle="1" w:styleId="44">
    <w:name w:val="标题 5 字符"/>
    <w:basedOn w:val="33"/>
    <w:link w:val="7"/>
    <w:qFormat/>
    <w:uiPriority w:val="0"/>
    <w:rPr>
      <w:rFonts w:ascii="Calibri" w:hAnsi="Calibri" w:eastAsia="宋体" w:cs="Times New Roman"/>
      <w:bCs/>
      <w:kern w:val="0"/>
      <w:sz w:val="24"/>
      <w:szCs w:val="28"/>
    </w:rPr>
  </w:style>
  <w:style w:type="character" w:customStyle="1" w:styleId="45">
    <w:name w:val="标题 6 字符"/>
    <w:basedOn w:val="33"/>
    <w:link w:val="8"/>
    <w:qFormat/>
    <w:uiPriority w:val="0"/>
    <w:rPr>
      <w:rFonts w:ascii="Cambria" w:hAnsi="Cambria" w:eastAsia="宋体" w:cs="Times New Roman"/>
      <w:bCs/>
      <w:kern w:val="0"/>
      <w:sz w:val="24"/>
      <w:szCs w:val="24"/>
    </w:rPr>
  </w:style>
  <w:style w:type="character" w:customStyle="1" w:styleId="46">
    <w:name w:val="标题 7 字符"/>
    <w:basedOn w:val="33"/>
    <w:link w:val="9"/>
    <w:qFormat/>
    <w:uiPriority w:val="0"/>
    <w:rPr>
      <w:rFonts w:ascii="Calibri" w:hAnsi="Calibri" w:eastAsia="宋体" w:cs="Times New Roman"/>
      <w:b/>
      <w:bCs/>
      <w:kern w:val="0"/>
      <w:sz w:val="24"/>
      <w:szCs w:val="24"/>
    </w:rPr>
  </w:style>
  <w:style w:type="character" w:customStyle="1" w:styleId="47">
    <w:name w:val="标题 8 字符"/>
    <w:basedOn w:val="33"/>
    <w:link w:val="10"/>
    <w:qFormat/>
    <w:uiPriority w:val="0"/>
    <w:rPr>
      <w:rFonts w:ascii="Cambria" w:hAnsi="Cambria" w:eastAsia="宋体" w:cs="Times New Roman"/>
      <w:kern w:val="0"/>
      <w:sz w:val="24"/>
      <w:szCs w:val="24"/>
    </w:rPr>
  </w:style>
  <w:style w:type="character" w:customStyle="1" w:styleId="48">
    <w:name w:val="标题 9 字符"/>
    <w:basedOn w:val="33"/>
    <w:link w:val="11"/>
    <w:qFormat/>
    <w:uiPriority w:val="0"/>
    <w:rPr>
      <w:rFonts w:ascii="Cambria" w:hAnsi="Cambria" w:eastAsia="宋体" w:cs="Times New Roman"/>
      <w:kern w:val="0"/>
      <w:szCs w:val="21"/>
    </w:rPr>
  </w:style>
  <w:style w:type="character" w:customStyle="1" w:styleId="49">
    <w:name w:val="文档结构图 字符"/>
    <w:basedOn w:val="33"/>
    <w:link w:val="13"/>
    <w:semiHidden/>
    <w:qFormat/>
    <w:uiPriority w:val="0"/>
    <w:rPr>
      <w:rFonts w:ascii="Times New Roman" w:hAnsi="Times New Roman" w:eastAsia="宋体" w:cs="Times New Roman"/>
      <w:szCs w:val="24"/>
      <w:shd w:val="clear" w:color="auto" w:fill="000080"/>
    </w:rPr>
  </w:style>
  <w:style w:type="character" w:customStyle="1" w:styleId="50">
    <w:name w:val="批注文字 字符"/>
    <w:basedOn w:val="33"/>
    <w:link w:val="14"/>
    <w:semiHidden/>
    <w:qFormat/>
    <w:uiPriority w:val="0"/>
    <w:rPr>
      <w:rFonts w:ascii="Times New Roman" w:hAnsi="Times New Roman" w:eastAsia="宋体" w:cs="Times New Roman"/>
      <w:szCs w:val="24"/>
    </w:rPr>
  </w:style>
  <w:style w:type="character" w:customStyle="1" w:styleId="51">
    <w:name w:val="正文文本 字符"/>
    <w:basedOn w:val="33"/>
    <w:link w:val="2"/>
    <w:qFormat/>
    <w:uiPriority w:val="0"/>
    <w:rPr>
      <w:rFonts w:ascii="Arial Black" w:hAnsi="Arial Black" w:eastAsia="幼圆" w:cs="Times New Roman"/>
      <w:sz w:val="24"/>
      <w:szCs w:val="20"/>
    </w:rPr>
  </w:style>
  <w:style w:type="character" w:customStyle="1" w:styleId="52">
    <w:name w:val="正文文本缩进 字符"/>
    <w:basedOn w:val="33"/>
    <w:link w:val="15"/>
    <w:qFormat/>
    <w:uiPriority w:val="0"/>
    <w:rPr>
      <w:rFonts w:ascii="宋体" w:hAnsi="宋体" w:eastAsia="宋体" w:cs="Times New Roman"/>
      <w:szCs w:val="21"/>
    </w:rPr>
  </w:style>
  <w:style w:type="character" w:customStyle="1" w:styleId="53">
    <w:name w:val="日期 字符"/>
    <w:basedOn w:val="33"/>
    <w:link w:val="19"/>
    <w:qFormat/>
    <w:uiPriority w:val="0"/>
    <w:rPr>
      <w:rFonts w:ascii="Times New Roman" w:hAnsi="Times New Roman" w:eastAsia="宋体" w:cs="Times New Roman"/>
      <w:szCs w:val="24"/>
    </w:rPr>
  </w:style>
  <w:style w:type="character" w:customStyle="1" w:styleId="54">
    <w:name w:val="正文文本缩进 2 字符"/>
    <w:basedOn w:val="33"/>
    <w:link w:val="20"/>
    <w:qFormat/>
    <w:uiPriority w:val="0"/>
    <w:rPr>
      <w:rFonts w:ascii="宋体" w:hAnsi="宋体" w:eastAsia="宋体" w:cs="Times New Roman"/>
      <w:szCs w:val="21"/>
    </w:rPr>
  </w:style>
  <w:style w:type="character" w:customStyle="1" w:styleId="55">
    <w:name w:val="批注框文本 字符"/>
    <w:basedOn w:val="33"/>
    <w:link w:val="21"/>
    <w:semiHidden/>
    <w:qFormat/>
    <w:uiPriority w:val="0"/>
    <w:rPr>
      <w:rFonts w:ascii="Times New Roman" w:hAnsi="Times New Roman" w:eastAsia="宋体" w:cs="Times New Roman"/>
      <w:sz w:val="18"/>
      <w:szCs w:val="18"/>
    </w:rPr>
  </w:style>
  <w:style w:type="character" w:customStyle="1" w:styleId="56">
    <w:name w:val="副标题 字符"/>
    <w:basedOn w:val="33"/>
    <w:link w:val="25"/>
    <w:qFormat/>
    <w:uiPriority w:val="0"/>
    <w:rPr>
      <w:rFonts w:ascii="Cambria" w:hAnsi="Cambria" w:eastAsia="宋体" w:cs="Times New Roman"/>
      <w:b/>
      <w:bCs/>
      <w:kern w:val="28"/>
      <w:sz w:val="32"/>
      <w:szCs w:val="32"/>
    </w:rPr>
  </w:style>
  <w:style w:type="character" w:customStyle="1" w:styleId="57">
    <w:name w:val="正文文本 2 字符"/>
    <w:basedOn w:val="33"/>
    <w:link w:val="27"/>
    <w:qFormat/>
    <w:uiPriority w:val="0"/>
    <w:rPr>
      <w:rFonts w:ascii="Times New Roman" w:hAnsi="Times New Roman" w:eastAsia="宋体" w:cs="Times New Roman"/>
      <w:szCs w:val="24"/>
    </w:rPr>
  </w:style>
  <w:style w:type="character" w:customStyle="1" w:styleId="58">
    <w:name w:val="标题 字符"/>
    <w:basedOn w:val="33"/>
    <w:link w:val="17"/>
    <w:qFormat/>
    <w:uiPriority w:val="0"/>
    <w:rPr>
      <w:rFonts w:ascii="宋体" w:hAnsi="宋体" w:eastAsia="宋体" w:cs="Times New Roman"/>
      <w:b/>
      <w:color w:val="000000"/>
      <w:kern w:val="0"/>
      <w:sz w:val="44"/>
      <w:szCs w:val="52"/>
    </w:rPr>
  </w:style>
  <w:style w:type="character" w:customStyle="1" w:styleId="59">
    <w:name w:val="批注主题 字符"/>
    <w:basedOn w:val="50"/>
    <w:link w:val="29"/>
    <w:semiHidden/>
    <w:qFormat/>
    <w:uiPriority w:val="0"/>
    <w:rPr>
      <w:rFonts w:ascii="Times New Roman" w:hAnsi="Times New Roman" w:eastAsia="宋体" w:cs="Times New Roman"/>
      <w:b/>
      <w:bCs/>
      <w:szCs w:val="24"/>
    </w:rPr>
  </w:style>
  <w:style w:type="paragraph" w:styleId="60">
    <w:name w:val="List Paragraph"/>
    <w:basedOn w:val="1"/>
    <w:qFormat/>
    <w:uiPriority w:val="34"/>
    <w:pPr>
      <w:ind w:firstLine="420" w:firstLineChars="200"/>
    </w:pPr>
  </w:style>
  <w:style w:type="paragraph" w:customStyle="1" w:styleId="61">
    <w:name w:val="Char Char"/>
    <w:basedOn w:val="1"/>
    <w:qFormat/>
    <w:uiPriority w:val="0"/>
    <w:pPr>
      <w:adjustRightInd w:val="0"/>
      <w:spacing w:line="360" w:lineRule="atLeast"/>
    </w:pPr>
    <w:rPr>
      <w:rFonts w:ascii="Times New Roman" w:hAnsi="Times New Roman" w:eastAsia="宋体" w:cs="Times New Roman"/>
      <w:szCs w:val="24"/>
    </w:rPr>
  </w:style>
  <w:style w:type="paragraph" w:customStyle="1" w:styleId="62">
    <w:name w:val="Char Char Char1 Char"/>
    <w:basedOn w:val="13"/>
    <w:qFormat/>
    <w:uiPriority w:val="0"/>
    <w:pPr>
      <w:numPr>
        <w:ilvl w:val="0"/>
        <w:numId w:val="2"/>
      </w:numPr>
      <w:tabs>
        <w:tab w:val="left" w:pos="425"/>
      </w:tabs>
    </w:pPr>
    <w:rPr>
      <w:rFonts w:ascii="Tahoma" w:hAnsi="Tahoma"/>
      <w:sz w:val="32"/>
    </w:rPr>
  </w:style>
  <w:style w:type="paragraph" w:customStyle="1" w:styleId="63">
    <w:name w:val="Char"/>
    <w:basedOn w:val="1"/>
    <w:qFormat/>
    <w:uiPriority w:val="0"/>
    <w:rPr>
      <w:rFonts w:ascii="Tahoma" w:hAnsi="Tahoma" w:eastAsia="宋体" w:cs="Times New Roman"/>
      <w:sz w:val="32"/>
      <w:szCs w:val="24"/>
    </w:rPr>
  </w:style>
  <w:style w:type="character" w:customStyle="1" w:styleId="64">
    <w:name w:val="f14b1"/>
    <w:qFormat/>
    <w:uiPriority w:val="0"/>
    <w:rPr>
      <w:b/>
      <w:bCs/>
      <w:sz w:val="21"/>
      <w:szCs w:val="21"/>
    </w:rPr>
  </w:style>
  <w:style w:type="character" w:customStyle="1" w:styleId="65">
    <w:name w:val="f121"/>
    <w:qFormat/>
    <w:uiPriority w:val="0"/>
    <w:rPr>
      <w:sz w:val="18"/>
      <w:szCs w:val="18"/>
      <w:u w:val="none"/>
    </w:rPr>
  </w:style>
  <w:style w:type="paragraph" w:customStyle="1" w:styleId="66">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67">
    <w:name w:val="样式1"/>
    <w:basedOn w:val="1"/>
    <w:qFormat/>
    <w:uiPriority w:val="0"/>
    <w:pPr>
      <w:overflowPunct w:val="0"/>
    </w:pPr>
    <w:rPr>
      <w:rFonts w:ascii="黑体" w:hAnsi="Garamond" w:eastAsia="黑体" w:cs="Times New Roman"/>
      <w:kern w:val="0"/>
      <w:szCs w:val="20"/>
    </w:rPr>
  </w:style>
  <w:style w:type="paragraph" w:customStyle="1" w:styleId="68">
    <w:name w:val="Char Char Char Char Char Char Char"/>
    <w:basedOn w:val="1"/>
    <w:qFormat/>
    <w:uiPriority w:val="0"/>
    <w:rPr>
      <w:rFonts w:ascii="Arial" w:hAnsi="Arial" w:eastAsia="宋体" w:cs="Arial"/>
      <w:sz w:val="20"/>
      <w:szCs w:val="20"/>
    </w:rPr>
  </w:style>
  <w:style w:type="paragraph" w:customStyle="1" w:styleId="69">
    <w:name w:val="xl27"/>
    <w:basedOn w:val="1"/>
    <w:qFormat/>
    <w:uiPriority w:val="0"/>
    <w:pPr>
      <w:widowControl/>
      <w:pBdr>
        <w:bottom w:val="single" w:color="auto" w:sz="4" w:space="0"/>
      </w:pBdr>
      <w:spacing w:before="100" w:beforeAutospacing="1" w:after="100" w:afterAutospacing="1"/>
      <w:jc w:val="center"/>
    </w:pPr>
    <w:rPr>
      <w:rFonts w:ascii="宋体" w:hAnsi="宋体" w:eastAsia="宋体" w:cs="Times New Roman"/>
      <w:b/>
      <w:bCs/>
      <w:kern w:val="0"/>
      <w:sz w:val="32"/>
      <w:szCs w:val="32"/>
    </w:rPr>
  </w:style>
  <w:style w:type="paragraph" w:customStyle="1" w:styleId="70">
    <w:name w:val="。"/>
    <w:basedOn w:val="1"/>
    <w:link w:val="71"/>
    <w:qFormat/>
    <w:uiPriority w:val="0"/>
    <w:pPr>
      <w:adjustRightInd w:val="0"/>
      <w:spacing w:line="312" w:lineRule="atLeast"/>
      <w:ind w:right="679"/>
      <w:textAlignment w:val="baseline"/>
    </w:pPr>
    <w:rPr>
      <w:rFonts w:ascii="宋体" w:hAnsi="Times New Roman" w:eastAsia="宋体" w:cs="Times New Roman"/>
      <w:kern w:val="0"/>
      <w:sz w:val="20"/>
      <w:szCs w:val="24"/>
    </w:rPr>
  </w:style>
  <w:style w:type="character" w:customStyle="1" w:styleId="71">
    <w:name w:val="。 Char"/>
    <w:link w:val="70"/>
    <w:qFormat/>
    <w:uiPriority w:val="0"/>
    <w:rPr>
      <w:rFonts w:ascii="宋体" w:hAnsi="Times New Roman" w:eastAsia="宋体" w:cs="Times New Roman"/>
      <w:kern w:val="0"/>
      <w:sz w:val="20"/>
      <w:szCs w:val="24"/>
    </w:rPr>
  </w:style>
  <w:style w:type="paragraph" w:customStyle="1" w:styleId="72">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73">
    <w:name w:val="居中"/>
    <w:basedOn w:val="1"/>
    <w:link w:val="74"/>
    <w:qFormat/>
    <w:uiPriority w:val="0"/>
    <w:pPr>
      <w:widowControl/>
      <w:spacing w:line="0" w:lineRule="atLeast"/>
      <w:jc w:val="center"/>
    </w:pPr>
    <w:rPr>
      <w:rFonts w:ascii="宋体" w:hAnsi="宋体" w:eastAsia="宋体" w:cs="Times New Roman"/>
      <w:kern w:val="0"/>
      <w:sz w:val="24"/>
      <w:szCs w:val="24"/>
    </w:rPr>
  </w:style>
  <w:style w:type="character" w:customStyle="1" w:styleId="74">
    <w:name w:val="居中 Char"/>
    <w:link w:val="73"/>
    <w:qFormat/>
    <w:uiPriority w:val="0"/>
    <w:rPr>
      <w:rFonts w:ascii="宋体" w:hAnsi="宋体" w:eastAsia="宋体" w:cs="Times New Roman"/>
      <w:kern w:val="0"/>
      <w:sz w:val="24"/>
      <w:szCs w:val="24"/>
    </w:rPr>
  </w:style>
  <w:style w:type="paragraph" w:styleId="75">
    <w:name w:val="No Spacing"/>
    <w:link w:val="76"/>
    <w:qFormat/>
    <w:uiPriority w:val="0"/>
    <w:pPr>
      <w:widowControl w:val="0"/>
      <w:jc w:val="both"/>
    </w:pPr>
    <w:rPr>
      <w:rFonts w:ascii="宋体" w:hAnsi="宋体" w:eastAsia="宋体" w:cs="Times New Roman"/>
      <w:kern w:val="2"/>
      <w:sz w:val="24"/>
      <w:szCs w:val="24"/>
      <w:lang w:val="en-US" w:eastAsia="zh-CN" w:bidi="ar-SA"/>
    </w:rPr>
  </w:style>
  <w:style w:type="character" w:customStyle="1" w:styleId="76">
    <w:name w:val="无间隔 字符"/>
    <w:link w:val="75"/>
    <w:qFormat/>
    <w:uiPriority w:val="0"/>
    <w:rPr>
      <w:rFonts w:ascii="宋体" w:hAnsi="宋体" w:eastAsia="宋体" w:cs="Times New Roman"/>
      <w:sz w:val="24"/>
      <w:szCs w:val="24"/>
    </w:rPr>
  </w:style>
  <w:style w:type="paragraph" w:customStyle="1" w:styleId="77">
    <w:name w:val="Homego正文"/>
    <w:basedOn w:val="1"/>
    <w:link w:val="78"/>
    <w:qFormat/>
    <w:uiPriority w:val="0"/>
    <w:pPr>
      <w:spacing w:beforeLines="50" w:afterLines="50" w:line="360" w:lineRule="auto"/>
      <w:ind w:firstLine="480" w:firstLineChars="200"/>
      <w:contextualSpacing/>
      <w:jc w:val="left"/>
    </w:pPr>
    <w:rPr>
      <w:rFonts w:ascii="Calibri" w:hAnsi="Calibri" w:eastAsia="宋体" w:cs="Times New Roman"/>
      <w:kern w:val="0"/>
      <w:sz w:val="24"/>
      <w:szCs w:val="24"/>
    </w:rPr>
  </w:style>
  <w:style w:type="character" w:customStyle="1" w:styleId="78">
    <w:name w:val="Homego正文 Char"/>
    <w:link w:val="77"/>
    <w:qFormat/>
    <w:uiPriority w:val="0"/>
    <w:rPr>
      <w:rFonts w:ascii="Calibri" w:hAnsi="Calibri" w:eastAsia="宋体" w:cs="Times New Roman"/>
      <w:kern w:val="0"/>
      <w:sz w:val="24"/>
      <w:szCs w:val="24"/>
    </w:rPr>
  </w:style>
  <w:style w:type="paragraph" w:customStyle="1" w:styleId="79">
    <w:name w:val="楷体居中"/>
    <w:basedOn w:val="1"/>
    <w:link w:val="80"/>
    <w:qFormat/>
    <w:uiPriority w:val="0"/>
    <w:pPr>
      <w:widowControl/>
      <w:spacing w:line="0" w:lineRule="atLeast"/>
      <w:jc w:val="center"/>
    </w:pPr>
    <w:rPr>
      <w:rFonts w:ascii="楷体_GB2312" w:hAnsi="宋体" w:eastAsia="楷体_GB2312" w:cs="Times New Roman"/>
      <w:kern w:val="0"/>
      <w:sz w:val="24"/>
      <w:szCs w:val="24"/>
    </w:rPr>
  </w:style>
  <w:style w:type="character" w:customStyle="1" w:styleId="80">
    <w:name w:val="楷体居中 Char"/>
    <w:link w:val="79"/>
    <w:qFormat/>
    <w:uiPriority w:val="0"/>
    <w:rPr>
      <w:rFonts w:ascii="楷体_GB2312" w:hAnsi="宋体" w:eastAsia="楷体_GB2312" w:cs="Times New Roman"/>
      <w:kern w:val="0"/>
      <w:sz w:val="24"/>
      <w:szCs w:val="24"/>
    </w:rPr>
  </w:style>
  <w:style w:type="paragraph" w:customStyle="1" w:styleId="81">
    <w:name w:val="靠右"/>
    <w:basedOn w:val="1"/>
    <w:link w:val="82"/>
    <w:qFormat/>
    <w:uiPriority w:val="0"/>
    <w:pPr>
      <w:widowControl/>
      <w:spacing w:before="100" w:beforeAutospacing="1" w:after="100" w:afterAutospacing="1"/>
      <w:jc w:val="right"/>
    </w:pPr>
    <w:rPr>
      <w:rFonts w:ascii="宋体" w:hAnsi="宋体" w:eastAsia="宋体" w:cs="Times New Roman"/>
      <w:kern w:val="0"/>
      <w:sz w:val="24"/>
      <w:szCs w:val="24"/>
    </w:rPr>
  </w:style>
  <w:style w:type="character" w:customStyle="1" w:styleId="82">
    <w:name w:val="靠右 Char"/>
    <w:link w:val="81"/>
    <w:qFormat/>
    <w:uiPriority w:val="0"/>
    <w:rPr>
      <w:rFonts w:ascii="宋体" w:hAnsi="宋体" w:eastAsia="宋体" w:cs="Times New Roman"/>
      <w:kern w:val="0"/>
      <w:sz w:val="24"/>
      <w:szCs w:val="24"/>
    </w:rPr>
  </w:style>
  <w:style w:type="paragraph" w:customStyle="1" w:styleId="83">
    <w:name w:val="列举"/>
    <w:basedOn w:val="75"/>
    <w:qFormat/>
    <w:uiPriority w:val="0"/>
    <w:pPr>
      <w:numPr>
        <w:ilvl w:val="0"/>
        <w:numId w:val="3"/>
      </w:numPr>
      <w:tabs>
        <w:tab w:val="left" w:pos="360"/>
      </w:tabs>
      <w:ind w:left="360" w:hanging="360"/>
    </w:pPr>
  </w:style>
  <w:style w:type="paragraph" w:customStyle="1" w:styleId="84">
    <w:name w:val="黑体居中"/>
    <w:basedOn w:val="73"/>
    <w:link w:val="85"/>
    <w:qFormat/>
    <w:uiPriority w:val="0"/>
    <w:rPr>
      <w:rFonts w:eastAsia="黑体"/>
    </w:rPr>
  </w:style>
  <w:style w:type="character" w:customStyle="1" w:styleId="85">
    <w:name w:val="黑体居中 Char"/>
    <w:link w:val="84"/>
    <w:qFormat/>
    <w:uiPriority w:val="0"/>
    <w:rPr>
      <w:rFonts w:ascii="宋体" w:hAnsi="宋体" w:eastAsia="黑体" w:cs="Times New Roman"/>
      <w:kern w:val="0"/>
      <w:sz w:val="24"/>
      <w:szCs w:val="24"/>
    </w:rPr>
  </w:style>
  <w:style w:type="paragraph" w:customStyle="1" w:styleId="86">
    <w:name w:val="黑体"/>
    <w:basedOn w:val="75"/>
    <w:link w:val="87"/>
    <w:qFormat/>
    <w:uiPriority w:val="0"/>
    <w:rPr>
      <w:rFonts w:eastAsia="黑体"/>
    </w:rPr>
  </w:style>
  <w:style w:type="character" w:customStyle="1" w:styleId="87">
    <w:name w:val="黑体 Char"/>
    <w:link w:val="86"/>
    <w:qFormat/>
    <w:uiPriority w:val="0"/>
    <w:rPr>
      <w:rFonts w:ascii="宋体" w:hAnsi="宋体" w:eastAsia="黑体" w:cs="Times New Roman"/>
      <w:sz w:val="24"/>
      <w:szCs w:val="24"/>
    </w:rPr>
  </w:style>
  <w:style w:type="paragraph" w:customStyle="1" w:styleId="88">
    <w:name w:val="单位标题"/>
    <w:basedOn w:val="84"/>
    <w:link w:val="89"/>
    <w:qFormat/>
    <w:uiPriority w:val="0"/>
    <w:pPr>
      <w:spacing w:line="360" w:lineRule="auto"/>
      <w:jc w:val="left"/>
    </w:pPr>
    <w:rPr>
      <w:sz w:val="28"/>
      <w:szCs w:val="36"/>
    </w:rPr>
  </w:style>
  <w:style w:type="character" w:customStyle="1" w:styleId="89">
    <w:name w:val="单位标题 Char"/>
    <w:link w:val="88"/>
    <w:qFormat/>
    <w:uiPriority w:val="0"/>
    <w:rPr>
      <w:rFonts w:ascii="宋体" w:hAnsi="宋体" w:eastAsia="黑体" w:cs="Times New Roman"/>
      <w:kern w:val="0"/>
      <w:sz w:val="28"/>
      <w:szCs w:val="36"/>
    </w:rPr>
  </w:style>
  <w:style w:type="paragraph" w:customStyle="1" w:styleId="90">
    <w:name w:val="1"/>
    <w:basedOn w:val="1"/>
    <w:next w:val="20"/>
    <w:qFormat/>
    <w:uiPriority w:val="0"/>
    <w:pPr>
      <w:adjustRightInd w:val="0"/>
      <w:spacing w:line="360" w:lineRule="atLeast"/>
      <w:ind w:left="600" w:firstLine="720"/>
      <w:jc w:val="left"/>
      <w:textAlignment w:val="baseline"/>
    </w:pPr>
    <w:rPr>
      <w:rFonts w:ascii="宋体" w:hAnsi="Times New Roman" w:eastAsia="宋体" w:cs="Times New Roman"/>
      <w:kern w:val="0"/>
      <w:sz w:val="24"/>
      <w:szCs w:val="20"/>
    </w:rPr>
  </w:style>
  <w:style w:type="paragraph" w:customStyle="1" w:styleId="91">
    <w:name w:val="目录"/>
    <w:basedOn w:val="1"/>
    <w:qFormat/>
    <w:uiPriority w:val="0"/>
    <w:pPr>
      <w:widowControl/>
      <w:jc w:val="center"/>
    </w:pPr>
    <w:rPr>
      <w:rFonts w:ascii="宋体" w:hAnsi="Times New Roman" w:eastAsia="宋体" w:cs="Times New Roman"/>
      <w:b/>
      <w:kern w:val="0"/>
      <w:sz w:val="36"/>
      <w:szCs w:val="20"/>
    </w:rPr>
  </w:style>
  <w:style w:type="paragraph" w:customStyle="1" w:styleId="92">
    <w:name w:val="Table Paragraph"/>
    <w:basedOn w:val="1"/>
    <w:qFormat/>
    <w:uiPriority w:val="1"/>
  </w:style>
  <w:style w:type="paragraph" w:customStyle="1" w:styleId="93">
    <w:name w:val="Table Text"/>
    <w:basedOn w:val="1"/>
    <w:semiHidden/>
    <w:qFormat/>
    <w:uiPriority w:val="0"/>
    <w:rPr>
      <w:rFonts w:ascii="仿宋" w:hAnsi="仿宋" w:eastAsia="仿宋" w:cs="仿宋"/>
      <w:sz w:val="24"/>
      <w:szCs w:val="24"/>
      <w:lang w:eastAsia="en-US"/>
    </w:rPr>
  </w:style>
  <w:style w:type="table" w:customStyle="1" w:styleId="94">
    <w:name w:val="Table Normal"/>
    <w:semiHidden/>
    <w:unhideWhenUsed/>
    <w:qFormat/>
    <w:uiPriority w:val="0"/>
    <w:tblPr>
      <w:tblCellMar>
        <w:top w:w="0" w:type="dxa"/>
        <w:left w:w="0" w:type="dxa"/>
        <w:bottom w:w="0" w:type="dxa"/>
        <w:right w:w="0" w:type="dxa"/>
      </w:tblCellMar>
    </w:tblPr>
  </w:style>
  <w:style w:type="paragraph" w:customStyle="1" w:styleId="95">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9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5684</Words>
  <Characters>6005</Characters>
  <Lines>45</Lines>
  <Paragraphs>12</Paragraphs>
  <TotalTime>76</TotalTime>
  <ScaleCrop>false</ScaleCrop>
  <LinksUpToDate>false</LinksUpToDate>
  <CharactersWithSpaces>6153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2024-06-05T08:14:00Z</dcterms:created>
  <dc:creator>Admin</dc:creator>
  <cp:lastModifiedBy>海峰</cp:lastModifiedBy>
  <dcterms:modified xsi:type="dcterms:W3CDTF">2024-06-06T08:10:38Z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8CDB3B09183A40C7A134A05FC058FF39_13</vt:lpwstr>
  </property>
</Properties>
</file>