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4B016">
      <w:pPr>
        <w:tabs>
          <w:tab w:val="left" w:pos="690"/>
        </w:tabs>
        <w:autoSpaceDE w:val="0"/>
        <w:autoSpaceDN w:val="0"/>
        <w:adjustRightInd w:val="0"/>
        <w:spacing w:line="360" w:lineRule="auto"/>
        <w:rPr>
          <w:rFonts w:hint="eastAsia" w:asciiTheme="minorEastAsia" w:hAnsiTheme="minorEastAsia"/>
          <w:kern w:val="0"/>
          <w:sz w:val="28"/>
          <w:szCs w:val="28"/>
        </w:rPr>
      </w:pPr>
      <w:r>
        <w:drawing>
          <wp:anchor distT="0" distB="0" distL="114300" distR="114300" simplePos="0" relativeHeight="251660288" behindDoc="0" locked="0" layoutInCell="1" allowOverlap="1">
            <wp:simplePos x="0" y="0"/>
            <wp:positionH relativeFrom="column">
              <wp:posOffset>-90805</wp:posOffset>
            </wp:positionH>
            <wp:positionV relativeFrom="paragraph">
              <wp:posOffset>64770</wp:posOffset>
            </wp:positionV>
            <wp:extent cx="1152525" cy="469265"/>
            <wp:effectExtent l="0" t="0" r="0" b="6985"/>
            <wp:wrapNone/>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15"/>
                    <a:stretch>
                      <a:fillRect/>
                    </a:stretch>
                  </pic:blipFill>
                  <pic:spPr>
                    <a:xfrm>
                      <a:off x="0" y="0"/>
                      <a:ext cx="1152525" cy="469265"/>
                    </a:xfrm>
                    <a:prstGeom prst="rect">
                      <a:avLst/>
                    </a:prstGeom>
                    <a:noFill/>
                    <a:ln>
                      <a:noFill/>
                    </a:ln>
                  </pic:spPr>
                </pic:pic>
              </a:graphicData>
            </a:graphic>
          </wp:anchor>
        </w:drawing>
      </w:r>
      <w:r>
        <w:rPr>
          <w:rFonts w:asciiTheme="minorEastAsia" w:hAnsiTheme="minorEastAsia"/>
          <w:kern w:val="0"/>
          <w:sz w:val="28"/>
          <w:szCs w:val="28"/>
        </w:rPr>
        <w:tab/>
      </w:r>
    </w:p>
    <w:p w14:paraId="3FD4215F">
      <w:pPr>
        <w:autoSpaceDE w:val="0"/>
        <w:autoSpaceDN w:val="0"/>
        <w:adjustRightInd w:val="0"/>
        <w:spacing w:line="360" w:lineRule="auto"/>
        <w:rPr>
          <w:rFonts w:hint="eastAsia" w:asciiTheme="minorEastAsia" w:hAnsiTheme="minorEastAsia"/>
          <w:kern w:val="0"/>
          <w:sz w:val="28"/>
          <w:szCs w:val="28"/>
        </w:rPr>
      </w:pPr>
    </w:p>
    <w:p w14:paraId="48110A22">
      <w:pPr>
        <w:autoSpaceDE w:val="0"/>
        <w:autoSpaceDN w:val="0"/>
        <w:adjustRightInd w:val="0"/>
        <w:spacing w:line="360" w:lineRule="auto"/>
        <w:rPr>
          <w:rFonts w:hint="eastAsia" w:asciiTheme="minorEastAsia" w:hAnsiTheme="minorEastAsia"/>
          <w:kern w:val="0"/>
          <w:sz w:val="28"/>
          <w:szCs w:val="28"/>
        </w:rPr>
      </w:pPr>
    </w:p>
    <w:p w14:paraId="50BEA546">
      <w:pPr>
        <w:autoSpaceDE w:val="0"/>
        <w:autoSpaceDN w:val="0"/>
        <w:adjustRightInd w:val="0"/>
        <w:spacing w:line="480" w:lineRule="auto"/>
        <w:jc w:val="center"/>
        <w:rPr>
          <w:rFonts w:hint="eastAsia" w:asciiTheme="minorEastAsia" w:hAnsiTheme="minorEastAsia"/>
          <w:kern w:val="0"/>
          <w:sz w:val="28"/>
          <w:szCs w:val="28"/>
        </w:rPr>
      </w:pPr>
    </w:p>
    <w:p w14:paraId="3CD74FFD">
      <w:pPr>
        <w:tabs>
          <w:tab w:val="left" w:pos="910"/>
        </w:tabs>
        <w:autoSpaceDE w:val="0"/>
        <w:autoSpaceDN w:val="0"/>
        <w:adjustRightInd w:val="0"/>
        <w:spacing w:line="480" w:lineRule="auto"/>
        <w:jc w:val="center"/>
        <w:rPr>
          <w:rFonts w:ascii="宋体" w:cs="宋体"/>
          <w:b/>
          <w:bCs/>
          <w:color w:val="000000"/>
          <w:kern w:val="0"/>
          <w:sz w:val="40"/>
          <w:szCs w:val="48"/>
        </w:rPr>
      </w:pPr>
      <w:r>
        <w:rPr>
          <w:rFonts w:hint="eastAsia" w:ascii="宋体" w:cs="宋体"/>
          <w:b/>
          <w:bCs/>
          <w:color w:val="000000"/>
          <w:kern w:val="0"/>
          <w:sz w:val="40"/>
          <w:szCs w:val="48"/>
        </w:rPr>
        <w:t>【国联汽车动力电池研究院有限责任公司】</w:t>
      </w:r>
    </w:p>
    <w:p w14:paraId="2B24636B">
      <w:pPr>
        <w:tabs>
          <w:tab w:val="left" w:pos="910"/>
        </w:tabs>
        <w:autoSpaceDE w:val="0"/>
        <w:autoSpaceDN w:val="0"/>
        <w:adjustRightInd w:val="0"/>
        <w:spacing w:line="480" w:lineRule="auto"/>
        <w:jc w:val="center"/>
        <w:rPr>
          <w:rFonts w:ascii="宋体" w:cs="宋体"/>
          <w:b/>
          <w:bCs/>
          <w:color w:val="000000"/>
          <w:kern w:val="0"/>
          <w:sz w:val="40"/>
          <w:szCs w:val="48"/>
        </w:rPr>
      </w:pPr>
      <w:r>
        <w:rPr>
          <w:rFonts w:hint="eastAsia" w:ascii="宋体" w:cs="宋体"/>
          <w:b/>
          <w:bCs/>
          <w:color w:val="000000"/>
          <w:kern w:val="0"/>
          <w:sz w:val="40"/>
          <w:szCs w:val="48"/>
        </w:rPr>
        <w:t>【国家动力电池创新中心强化创新能力建设“两重”建设项目-</w:t>
      </w:r>
      <w:r>
        <w:rPr>
          <w:rFonts w:hint="eastAsia" w:ascii="宋体" w:cs="宋体"/>
          <w:b/>
          <w:bCs/>
          <w:color w:val="000000"/>
          <w:kern w:val="0"/>
          <w:sz w:val="40"/>
          <w:szCs w:val="48"/>
          <w:lang w:val="en-US" w:eastAsia="zh-CN"/>
        </w:rPr>
        <w:t>密闭干燥温度控制系统</w:t>
      </w:r>
      <w:r>
        <w:rPr>
          <w:rFonts w:hint="eastAsia" w:ascii="宋体" w:cs="宋体"/>
          <w:b/>
          <w:bCs/>
          <w:color w:val="000000"/>
          <w:kern w:val="0"/>
          <w:sz w:val="40"/>
          <w:szCs w:val="48"/>
        </w:rPr>
        <w:t>】</w:t>
      </w:r>
    </w:p>
    <w:p w14:paraId="2E06D6CA">
      <w:pPr>
        <w:tabs>
          <w:tab w:val="left" w:pos="910"/>
        </w:tabs>
        <w:autoSpaceDE w:val="0"/>
        <w:autoSpaceDN w:val="0"/>
        <w:adjustRightInd w:val="0"/>
        <w:spacing w:line="360" w:lineRule="auto"/>
        <w:rPr>
          <w:rFonts w:hint="eastAsia" w:cs="宋体" w:asciiTheme="minorEastAsia" w:hAnsiTheme="minorEastAsia"/>
          <w:b/>
          <w:bCs/>
          <w:kern w:val="0"/>
          <w:sz w:val="48"/>
          <w:szCs w:val="48"/>
        </w:rPr>
      </w:pPr>
    </w:p>
    <w:p w14:paraId="576AD1D5">
      <w:pPr>
        <w:autoSpaceDE w:val="0"/>
        <w:autoSpaceDN w:val="0"/>
        <w:adjustRightInd w:val="0"/>
        <w:spacing w:line="360" w:lineRule="auto"/>
        <w:jc w:val="center"/>
        <w:rPr>
          <w:rFonts w:hint="eastAsia" w:cs="宋体" w:asciiTheme="minorEastAsia" w:hAnsiTheme="minorEastAsia"/>
          <w:b/>
          <w:bCs/>
          <w:kern w:val="0"/>
          <w:sz w:val="72"/>
          <w:szCs w:val="72"/>
        </w:rPr>
      </w:pPr>
      <w:r>
        <w:rPr>
          <w:rFonts w:hint="eastAsia" w:cs="宋体" w:asciiTheme="minorEastAsia" w:hAnsiTheme="minorEastAsia"/>
          <w:b/>
          <w:bCs/>
          <w:kern w:val="0"/>
          <w:sz w:val="72"/>
          <w:szCs w:val="72"/>
        </w:rPr>
        <w:t>议</w:t>
      </w:r>
    </w:p>
    <w:p w14:paraId="3800B90A">
      <w:pPr>
        <w:autoSpaceDE w:val="0"/>
        <w:autoSpaceDN w:val="0"/>
        <w:adjustRightInd w:val="0"/>
        <w:spacing w:line="360" w:lineRule="auto"/>
        <w:jc w:val="center"/>
        <w:rPr>
          <w:rFonts w:hint="eastAsia" w:cs="宋体" w:asciiTheme="minorEastAsia" w:hAnsiTheme="minorEastAsia"/>
          <w:b/>
          <w:bCs/>
          <w:kern w:val="0"/>
          <w:sz w:val="72"/>
          <w:szCs w:val="72"/>
        </w:rPr>
      </w:pPr>
      <w:r>
        <w:rPr>
          <w:rFonts w:hint="eastAsia" w:cs="宋体" w:asciiTheme="minorEastAsia" w:hAnsiTheme="minorEastAsia"/>
          <w:b/>
          <w:bCs/>
          <w:kern w:val="0"/>
          <w:sz w:val="72"/>
          <w:szCs w:val="72"/>
        </w:rPr>
        <w:t>标</w:t>
      </w:r>
    </w:p>
    <w:p w14:paraId="0EC77440">
      <w:pPr>
        <w:tabs>
          <w:tab w:val="center" w:pos="4153"/>
          <w:tab w:val="left" w:pos="5611"/>
        </w:tabs>
        <w:autoSpaceDE w:val="0"/>
        <w:autoSpaceDN w:val="0"/>
        <w:adjustRightInd w:val="0"/>
        <w:spacing w:line="360" w:lineRule="auto"/>
        <w:jc w:val="left"/>
        <w:rPr>
          <w:rFonts w:hint="eastAsia" w:cs="宋体" w:asciiTheme="minorEastAsia" w:hAnsiTheme="minorEastAsia"/>
          <w:b/>
          <w:bCs/>
          <w:kern w:val="0"/>
          <w:sz w:val="72"/>
          <w:szCs w:val="72"/>
        </w:rPr>
      </w:pPr>
      <w:r>
        <w:rPr>
          <w:rFonts w:cs="宋体" w:asciiTheme="minorEastAsia" w:hAnsiTheme="minorEastAsia"/>
          <w:b/>
          <w:bCs/>
          <w:kern w:val="0"/>
          <w:sz w:val="72"/>
          <w:szCs w:val="72"/>
        </w:rPr>
        <w:tab/>
      </w:r>
      <w:r>
        <w:rPr>
          <w:rFonts w:hint="eastAsia" w:cs="宋体" w:asciiTheme="minorEastAsia" w:hAnsiTheme="minorEastAsia"/>
          <w:b/>
          <w:bCs/>
          <w:kern w:val="0"/>
          <w:sz w:val="72"/>
          <w:szCs w:val="72"/>
        </w:rPr>
        <w:t>文</w:t>
      </w:r>
    </w:p>
    <w:p w14:paraId="14C376E5">
      <w:pPr>
        <w:autoSpaceDE w:val="0"/>
        <w:autoSpaceDN w:val="0"/>
        <w:adjustRightInd w:val="0"/>
        <w:spacing w:line="360" w:lineRule="auto"/>
        <w:jc w:val="center"/>
        <w:rPr>
          <w:rFonts w:hint="eastAsia" w:cs="宋体" w:asciiTheme="minorEastAsia" w:hAnsiTheme="minorEastAsia"/>
          <w:b/>
          <w:bCs/>
          <w:kern w:val="0"/>
          <w:sz w:val="36"/>
          <w:szCs w:val="36"/>
        </w:rPr>
      </w:pPr>
      <w:r>
        <w:rPr>
          <w:rFonts w:hint="eastAsia" w:cs="宋体" w:asciiTheme="minorEastAsia" w:hAnsiTheme="minorEastAsia"/>
          <w:b/>
          <w:bCs/>
          <w:kern w:val="0"/>
          <w:sz w:val="72"/>
          <w:szCs w:val="72"/>
        </w:rPr>
        <w:t>件</w:t>
      </w:r>
    </w:p>
    <w:p w14:paraId="29B4F926">
      <w:pPr>
        <w:autoSpaceDE w:val="0"/>
        <w:autoSpaceDN w:val="0"/>
        <w:adjustRightInd w:val="0"/>
        <w:spacing w:line="360" w:lineRule="auto"/>
        <w:rPr>
          <w:rFonts w:hint="eastAsia" w:cs="宋体" w:asciiTheme="minorEastAsia" w:hAnsiTheme="minorEastAsia"/>
          <w:b/>
          <w:bCs/>
          <w:kern w:val="0"/>
          <w:sz w:val="36"/>
          <w:szCs w:val="36"/>
        </w:rPr>
      </w:pPr>
    </w:p>
    <w:p w14:paraId="1EC6E4FF">
      <w:pPr>
        <w:autoSpaceDE w:val="0"/>
        <w:autoSpaceDN w:val="0"/>
        <w:adjustRightInd w:val="0"/>
        <w:spacing w:line="360" w:lineRule="auto"/>
        <w:rPr>
          <w:rFonts w:hint="eastAsia" w:cs="宋体" w:asciiTheme="minorEastAsia" w:hAnsiTheme="minorEastAsia"/>
          <w:b/>
          <w:bCs/>
          <w:kern w:val="0"/>
          <w:sz w:val="36"/>
          <w:szCs w:val="36"/>
        </w:rPr>
      </w:pPr>
    </w:p>
    <w:p w14:paraId="4F4BDB55">
      <w:pPr>
        <w:autoSpaceDE w:val="0"/>
        <w:autoSpaceDN w:val="0"/>
        <w:adjustRightInd w:val="0"/>
        <w:spacing w:line="360" w:lineRule="auto"/>
        <w:rPr>
          <w:rFonts w:hint="eastAsia" w:cs="宋体" w:asciiTheme="minorEastAsia" w:hAnsiTheme="minorEastAsia"/>
          <w:b/>
          <w:bCs/>
          <w:kern w:val="0"/>
          <w:sz w:val="36"/>
          <w:szCs w:val="36"/>
        </w:rPr>
      </w:pPr>
    </w:p>
    <w:p w14:paraId="2C2A3DC5">
      <w:pPr>
        <w:autoSpaceDE w:val="0"/>
        <w:autoSpaceDN w:val="0"/>
        <w:adjustRightInd w:val="0"/>
        <w:spacing w:line="360" w:lineRule="auto"/>
        <w:jc w:val="center"/>
        <w:rPr>
          <w:rFonts w:hint="eastAsia" w:asciiTheme="minorEastAsia" w:hAnsiTheme="minorEastAsia"/>
          <w:b/>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1440" w:right="1800" w:bottom="1440" w:left="1800" w:header="851" w:footer="992" w:gutter="0"/>
          <w:pgNumType w:start="0"/>
          <w:cols w:space="425" w:num="1"/>
          <w:titlePg/>
          <w:docGrid w:type="lines" w:linePitch="312" w:charSpace="0"/>
        </w:sectPr>
      </w:pPr>
      <w:r>
        <w:rPr>
          <w:rFonts w:cs="宋体" w:asciiTheme="minorEastAsia" w:hAnsiTheme="minorEastAsia"/>
          <w:b/>
          <w:bCs/>
          <w:kern w:val="0"/>
          <w:sz w:val="28"/>
          <w:szCs w:val="28"/>
        </w:rPr>
        <w:t>公示日期：2026年10月</w:t>
      </w:r>
      <w:r>
        <w:rPr>
          <w:rFonts w:hint="eastAsia" w:cs="宋体" w:asciiTheme="minorEastAsia" w:hAnsiTheme="minorEastAsia"/>
          <w:b/>
          <w:bCs/>
          <w:kern w:val="0"/>
          <w:sz w:val="28"/>
          <w:szCs w:val="28"/>
          <w:lang w:val="en-US" w:eastAsia="zh-CN"/>
        </w:rPr>
        <w:t>30</w:t>
      </w:r>
      <w:r>
        <w:rPr>
          <w:rFonts w:cs="宋体" w:asciiTheme="minorEastAsia" w:hAnsiTheme="minorEastAsia"/>
          <w:b/>
          <w:bCs/>
          <w:kern w:val="0"/>
          <w:sz w:val="28"/>
          <w:szCs w:val="28"/>
        </w:rPr>
        <w:t>日</w:t>
      </w:r>
    </w:p>
    <w:p w14:paraId="6B908C00">
      <w:pPr>
        <w:pStyle w:val="43"/>
        <w:adjustRightInd w:val="0"/>
        <w:snapToGrid w:val="0"/>
        <w:spacing w:line="360" w:lineRule="auto"/>
        <w:rPr>
          <w:rFonts w:hint="eastAsia" w:asciiTheme="minorEastAsia" w:hAnsiTheme="minorEastAsia"/>
          <w:b/>
          <w:sz w:val="28"/>
          <w:szCs w:val="28"/>
          <w:lang w:eastAsia="zh-CN"/>
        </w:rPr>
      </w:pPr>
    </w:p>
    <w:p w14:paraId="2357C93F">
      <w:pPr>
        <w:pStyle w:val="43"/>
        <w:adjustRightInd w:val="0"/>
        <w:snapToGrid w:val="0"/>
        <w:spacing w:line="360" w:lineRule="auto"/>
        <w:jc w:val="center"/>
        <w:rPr>
          <w:rFonts w:hint="eastAsia" w:asciiTheme="minorEastAsia" w:hAnsiTheme="minorEastAsia"/>
          <w:sz w:val="28"/>
          <w:szCs w:val="28"/>
          <w:lang w:eastAsia="zh-CN"/>
        </w:rPr>
      </w:pPr>
      <w:r>
        <w:rPr>
          <w:rFonts w:hint="eastAsia" w:asciiTheme="minorEastAsia" w:hAnsiTheme="minorEastAsia"/>
          <w:b/>
          <w:sz w:val="32"/>
          <w:szCs w:val="32"/>
          <w:lang w:eastAsia="zh-CN"/>
        </w:rPr>
        <w:t>目录</w:t>
      </w:r>
      <w:r>
        <w:rPr>
          <w:rFonts w:cs="宋体" w:asciiTheme="minorEastAsia" w:hAnsiTheme="minorEastAsia"/>
          <w:b/>
          <w:sz w:val="28"/>
          <w:szCs w:val="28"/>
        </w:rPr>
        <w:fldChar w:fldCharType="begin"/>
      </w:r>
      <w:r>
        <w:rPr>
          <w:rFonts w:cs="宋体" w:asciiTheme="minorEastAsia" w:hAnsiTheme="minorEastAsia"/>
          <w:b/>
          <w:sz w:val="28"/>
          <w:szCs w:val="28"/>
          <w:lang w:eastAsia="zh-CN"/>
        </w:rPr>
        <w:instrText xml:space="preserve"> TOC \o "1-1" \h \z \u </w:instrText>
      </w:r>
      <w:r>
        <w:rPr>
          <w:rFonts w:cs="宋体" w:asciiTheme="minorEastAsia" w:hAnsiTheme="minorEastAsia"/>
          <w:b/>
          <w:sz w:val="28"/>
          <w:szCs w:val="28"/>
        </w:rPr>
        <w:fldChar w:fldCharType="separate"/>
      </w:r>
    </w:p>
    <w:p w14:paraId="79D0496E">
      <w:pPr>
        <w:pStyle w:val="52"/>
        <w:tabs>
          <w:tab w:val="right" w:leader="dot" w:pos="8302"/>
        </w:tabs>
        <w:spacing w:line="360" w:lineRule="auto"/>
        <w:rPr>
          <w:rFonts w:hint="eastAsia" w:asciiTheme="minorEastAsia" w:hAnsiTheme="minorEastAsia" w:cstheme="minorBidi"/>
          <w:b w:val="0"/>
          <w:bCs w:val="0"/>
          <w:caps w:val="0"/>
          <w:sz w:val="28"/>
          <w:szCs w:val="28"/>
        </w:rPr>
      </w:pPr>
      <w:r>
        <w:fldChar w:fldCharType="begin"/>
      </w:r>
      <w:r>
        <w:instrText xml:space="preserve"> HYPERLINK \l "_Toc427665286" </w:instrText>
      </w:r>
      <w:r>
        <w:fldChar w:fldCharType="separate"/>
      </w:r>
      <w:r>
        <w:rPr>
          <w:rStyle w:val="83"/>
          <w:rFonts w:hint="eastAsia" w:asciiTheme="minorEastAsia" w:hAnsiTheme="minorEastAsia"/>
          <w:color w:val="auto"/>
          <w:sz w:val="28"/>
          <w:szCs w:val="28"/>
          <w:lang w:bidi="en-US"/>
        </w:rPr>
        <w:t>第一章 内部议标邀请书</w:t>
      </w:r>
      <w:r>
        <w:rPr>
          <w:rFonts w:asciiTheme="minorEastAsia" w:hAnsiTheme="minorEastAsia"/>
          <w:sz w:val="28"/>
          <w:szCs w:val="28"/>
        </w:rPr>
        <w:tab/>
      </w:r>
      <w:r>
        <w:rPr>
          <w:rFonts w:hint="eastAsia" w:asciiTheme="minorEastAsia" w:hAnsiTheme="minorEastAsia"/>
          <w:sz w:val="28"/>
          <w:szCs w:val="28"/>
        </w:rPr>
        <w:t>2</w:t>
      </w:r>
      <w:r>
        <w:rPr>
          <w:rFonts w:hint="eastAsia" w:asciiTheme="minorEastAsia" w:hAnsiTheme="minorEastAsia"/>
          <w:sz w:val="28"/>
          <w:szCs w:val="28"/>
        </w:rPr>
        <w:fldChar w:fldCharType="end"/>
      </w:r>
    </w:p>
    <w:p w14:paraId="469DEF1B">
      <w:pPr>
        <w:pStyle w:val="52"/>
        <w:tabs>
          <w:tab w:val="right" w:leader="dot" w:pos="8302"/>
        </w:tabs>
        <w:spacing w:line="360" w:lineRule="auto"/>
        <w:rPr>
          <w:rFonts w:hint="eastAsia" w:asciiTheme="minorEastAsia" w:hAnsiTheme="minorEastAsia" w:cstheme="minorBidi"/>
          <w:b w:val="0"/>
          <w:bCs w:val="0"/>
          <w:caps w:val="0"/>
          <w:sz w:val="28"/>
          <w:szCs w:val="28"/>
        </w:rPr>
      </w:pPr>
      <w:r>
        <w:fldChar w:fldCharType="begin"/>
      </w:r>
      <w:r>
        <w:instrText xml:space="preserve"> HYPERLINK \l "_Toc427665287" </w:instrText>
      </w:r>
      <w:r>
        <w:fldChar w:fldCharType="separate"/>
      </w:r>
      <w:r>
        <w:rPr>
          <w:rStyle w:val="83"/>
          <w:rFonts w:hint="eastAsia" w:asciiTheme="minorEastAsia" w:hAnsiTheme="minorEastAsia"/>
          <w:color w:val="auto"/>
          <w:sz w:val="28"/>
          <w:szCs w:val="28"/>
          <w:lang w:bidi="en-US"/>
        </w:rPr>
        <w:t>第二章投标人须知</w:t>
      </w:r>
      <w:r>
        <w:rPr>
          <w:rFonts w:asciiTheme="minorEastAsia" w:hAnsiTheme="minorEastAsia"/>
          <w:sz w:val="28"/>
          <w:szCs w:val="28"/>
        </w:rPr>
        <w:tab/>
      </w:r>
      <w:r>
        <w:rPr>
          <w:rFonts w:hint="eastAsia" w:asciiTheme="minorEastAsia" w:hAnsiTheme="minorEastAsia"/>
          <w:sz w:val="28"/>
          <w:szCs w:val="28"/>
        </w:rPr>
        <w:t>4</w:t>
      </w:r>
      <w:r>
        <w:rPr>
          <w:rFonts w:hint="eastAsia" w:asciiTheme="minorEastAsia" w:hAnsiTheme="minorEastAsia"/>
          <w:sz w:val="28"/>
          <w:szCs w:val="28"/>
        </w:rPr>
        <w:fldChar w:fldCharType="end"/>
      </w:r>
    </w:p>
    <w:p w14:paraId="33EAB940">
      <w:pPr>
        <w:pStyle w:val="52"/>
        <w:tabs>
          <w:tab w:val="right" w:leader="dot" w:pos="8302"/>
        </w:tabs>
        <w:spacing w:line="360" w:lineRule="auto"/>
        <w:rPr>
          <w:rFonts w:hint="eastAsia" w:asciiTheme="minorEastAsia" w:hAnsiTheme="minorEastAsia" w:cstheme="minorBidi"/>
          <w:b w:val="0"/>
          <w:bCs w:val="0"/>
          <w:caps w:val="0"/>
          <w:sz w:val="28"/>
          <w:szCs w:val="28"/>
        </w:rPr>
      </w:pPr>
      <w:r>
        <w:fldChar w:fldCharType="begin"/>
      </w:r>
      <w:r>
        <w:instrText xml:space="preserve"> HYPERLINK \l "_Toc427665304" </w:instrText>
      </w:r>
      <w:r>
        <w:fldChar w:fldCharType="separate"/>
      </w:r>
      <w:r>
        <w:rPr>
          <w:rStyle w:val="83"/>
          <w:rFonts w:hint="eastAsia" w:asciiTheme="minorEastAsia" w:hAnsiTheme="minorEastAsia"/>
          <w:color w:val="auto"/>
          <w:sz w:val="28"/>
          <w:szCs w:val="28"/>
          <w:lang w:bidi="en-US"/>
        </w:rPr>
        <w:t>第三章合同条款</w:t>
      </w:r>
      <w:r>
        <w:rPr>
          <w:rFonts w:asciiTheme="minorEastAsia" w:hAnsiTheme="minorEastAsia"/>
          <w:sz w:val="28"/>
          <w:szCs w:val="28"/>
        </w:rPr>
        <w:tab/>
      </w:r>
      <w:r>
        <w:rPr>
          <w:rFonts w:hint="eastAsia" w:asciiTheme="minorEastAsia" w:hAnsiTheme="minorEastAsia"/>
          <w:sz w:val="28"/>
          <w:szCs w:val="28"/>
        </w:rPr>
        <w:t>11</w:t>
      </w:r>
      <w:r>
        <w:rPr>
          <w:rFonts w:hint="eastAsia" w:asciiTheme="minorEastAsia" w:hAnsiTheme="minorEastAsia"/>
          <w:sz w:val="28"/>
          <w:szCs w:val="28"/>
        </w:rPr>
        <w:fldChar w:fldCharType="end"/>
      </w:r>
    </w:p>
    <w:p w14:paraId="4ED188F1">
      <w:pPr>
        <w:pStyle w:val="52"/>
        <w:tabs>
          <w:tab w:val="right" w:leader="dot" w:pos="8302"/>
        </w:tabs>
        <w:spacing w:line="360" w:lineRule="auto"/>
        <w:rPr>
          <w:rFonts w:hint="eastAsia" w:asciiTheme="minorEastAsia" w:hAnsiTheme="minorEastAsia" w:cstheme="minorBidi"/>
          <w:b w:val="0"/>
          <w:bCs w:val="0"/>
          <w:caps w:val="0"/>
          <w:sz w:val="28"/>
          <w:szCs w:val="28"/>
        </w:rPr>
      </w:pPr>
      <w:r>
        <w:fldChar w:fldCharType="begin"/>
      </w:r>
      <w:r>
        <w:instrText xml:space="preserve"> HYPERLINK \l "_Toc427665306" </w:instrText>
      </w:r>
      <w:r>
        <w:fldChar w:fldCharType="separate"/>
      </w:r>
      <w:r>
        <w:rPr>
          <w:rStyle w:val="83"/>
          <w:rFonts w:hint="eastAsia" w:asciiTheme="minorEastAsia" w:hAnsiTheme="minorEastAsia"/>
          <w:color w:val="auto"/>
          <w:sz w:val="28"/>
          <w:szCs w:val="28"/>
          <w:lang w:bidi="en-US"/>
        </w:rPr>
        <w:t>第四章技术要求</w:t>
      </w:r>
      <w:r>
        <w:rPr>
          <w:rFonts w:asciiTheme="minorEastAsia" w:hAnsiTheme="minorEastAsia"/>
          <w:sz w:val="28"/>
          <w:szCs w:val="28"/>
        </w:rPr>
        <w:tab/>
      </w:r>
      <w:r>
        <w:rPr>
          <w:rFonts w:hint="eastAsia" w:asciiTheme="minorEastAsia" w:hAnsiTheme="minorEastAsia"/>
          <w:sz w:val="28"/>
          <w:szCs w:val="28"/>
        </w:rPr>
        <w:t>19</w:t>
      </w:r>
      <w:r>
        <w:rPr>
          <w:rFonts w:hint="eastAsia" w:asciiTheme="minorEastAsia" w:hAnsiTheme="minorEastAsia"/>
          <w:sz w:val="28"/>
          <w:szCs w:val="28"/>
        </w:rPr>
        <w:fldChar w:fldCharType="end"/>
      </w:r>
    </w:p>
    <w:p w14:paraId="577F6455">
      <w:pPr>
        <w:pStyle w:val="52"/>
        <w:tabs>
          <w:tab w:val="right" w:leader="dot" w:pos="8302"/>
        </w:tabs>
        <w:spacing w:line="360" w:lineRule="auto"/>
        <w:rPr>
          <w:rFonts w:hint="eastAsia" w:asciiTheme="minorEastAsia" w:hAnsiTheme="minorEastAsia" w:cstheme="minorBidi"/>
          <w:b w:val="0"/>
          <w:bCs w:val="0"/>
          <w:caps w:val="0"/>
          <w:sz w:val="28"/>
          <w:szCs w:val="28"/>
        </w:rPr>
      </w:pPr>
      <w:r>
        <w:fldChar w:fldCharType="begin"/>
      </w:r>
      <w:r>
        <w:instrText xml:space="preserve"> HYPERLINK \l "_Toc427665308" </w:instrText>
      </w:r>
      <w:r>
        <w:fldChar w:fldCharType="separate"/>
      </w:r>
      <w:r>
        <w:rPr>
          <w:rStyle w:val="83"/>
          <w:rFonts w:hint="eastAsia" w:asciiTheme="minorEastAsia" w:hAnsiTheme="minorEastAsia"/>
          <w:color w:val="auto"/>
          <w:sz w:val="28"/>
          <w:szCs w:val="28"/>
          <w:lang w:bidi="en-US"/>
        </w:rPr>
        <w:t>第五章投标文件的组成</w:t>
      </w:r>
      <w:r>
        <w:rPr>
          <w:rFonts w:asciiTheme="minorEastAsia" w:hAnsiTheme="minorEastAsia"/>
          <w:sz w:val="28"/>
          <w:szCs w:val="28"/>
        </w:rPr>
        <w:tab/>
      </w:r>
      <w:r>
        <w:rPr>
          <w:rFonts w:hint="eastAsia" w:asciiTheme="minorEastAsia" w:hAnsiTheme="minorEastAsia"/>
          <w:sz w:val="28"/>
          <w:szCs w:val="28"/>
        </w:rPr>
        <w:t>25</w:t>
      </w:r>
      <w:r>
        <w:rPr>
          <w:rFonts w:hint="eastAsia" w:asciiTheme="minorEastAsia" w:hAnsiTheme="minorEastAsia"/>
          <w:sz w:val="28"/>
          <w:szCs w:val="28"/>
        </w:rPr>
        <w:fldChar w:fldCharType="end"/>
      </w:r>
    </w:p>
    <w:p w14:paraId="4D390877">
      <w:pPr>
        <w:spacing w:before="312" w:beforeLines="100" w:after="312" w:afterLines="100" w:line="360" w:lineRule="auto"/>
        <w:rPr>
          <w:rFonts w:hint="eastAsia" w:cs="宋体" w:asciiTheme="minorEastAsia" w:hAnsiTheme="minorEastAsia"/>
          <w:b/>
          <w:sz w:val="28"/>
          <w:szCs w:val="28"/>
        </w:rPr>
      </w:pPr>
      <w:r>
        <w:rPr>
          <w:rFonts w:cs="宋体" w:asciiTheme="minorEastAsia" w:hAnsiTheme="minorEastAsia"/>
          <w:b/>
          <w:sz w:val="28"/>
          <w:szCs w:val="28"/>
        </w:rPr>
        <w:fldChar w:fldCharType="end"/>
      </w:r>
    </w:p>
    <w:p w14:paraId="2006932D">
      <w:pPr>
        <w:spacing w:before="312" w:beforeLines="100" w:after="312" w:afterLines="100" w:line="360" w:lineRule="auto"/>
        <w:jc w:val="right"/>
        <w:rPr>
          <w:rFonts w:hint="eastAsia" w:cs="宋体" w:asciiTheme="minorEastAsia" w:hAnsiTheme="minorEastAsia"/>
          <w:b/>
          <w:sz w:val="28"/>
          <w:szCs w:val="28"/>
        </w:rPr>
      </w:pPr>
    </w:p>
    <w:p w14:paraId="3748E5F0">
      <w:pPr>
        <w:spacing w:before="312" w:beforeLines="100" w:after="312" w:afterLines="100" w:line="360" w:lineRule="auto"/>
        <w:rPr>
          <w:rFonts w:hint="eastAsia" w:cs="宋体" w:asciiTheme="minorEastAsia" w:hAnsiTheme="minorEastAsia"/>
          <w:b/>
          <w:sz w:val="28"/>
          <w:szCs w:val="28"/>
        </w:rPr>
      </w:pPr>
    </w:p>
    <w:p w14:paraId="02A9F1B2">
      <w:pPr>
        <w:spacing w:line="360" w:lineRule="auto"/>
        <w:rPr>
          <w:rFonts w:hint="eastAsia" w:asciiTheme="minorEastAsia" w:hAnsiTheme="minorEastAsia"/>
          <w:sz w:val="28"/>
          <w:szCs w:val="28"/>
          <w:lang w:bidi="en-US"/>
        </w:rPr>
      </w:pPr>
    </w:p>
    <w:p w14:paraId="4CA9F468">
      <w:pPr>
        <w:spacing w:line="360" w:lineRule="auto"/>
        <w:jc w:val="center"/>
        <w:rPr>
          <w:rFonts w:hint="eastAsia" w:asciiTheme="minorEastAsia" w:hAnsiTheme="minorEastAsia"/>
          <w:lang w:bidi="en-US"/>
        </w:rPr>
      </w:pPr>
    </w:p>
    <w:p w14:paraId="2F122336">
      <w:pPr>
        <w:spacing w:line="360" w:lineRule="auto"/>
        <w:rPr>
          <w:rFonts w:hint="eastAsia" w:asciiTheme="minorEastAsia" w:hAnsiTheme="minorEastAsia"/>
          <w:lang w:bidi="en-US"/>
        </w:rPr>
      </w:pPr>
    </w:p>
    <w:p w14:paraId="65DD8889">
      <w:pPr>
        <w:spacing w:line="360" w:lineRule="auto"/>
        <w:rPr>
          <w:rFonts w:hint="eastAsia" w:asciiTheme="minorEastAsia" w:hAnsiTheme="minorEastAsia"/>
          <w:lang w:bidi="en-US"/>
        </w:rPr>
      </w:pPr>
    </w:p>
    <w:p w14:paraId="7ECBD944">
      <w:pPr>
        <w:spacing w:line="360" w:lineRule="auto"/>
        <w:rPr>
          <w:rFonts w:hint="eastAsia" w:asciiTheme="minorEastAsia" w:hAnsiTheme="minorEastAsia"/>
          <w:lang w:bidi="en-US"/>
        </w:rPr>
      </w:pPr>
    </w:p>
    <w:p w14:paraId="6D5AFC50">
      <w:pPr>
        <w:spacing w:line="360" w:lineRule="auto"/>
        <w:rPr>
          <w:rFonts w:hint="eastAsia" w:asciiTheme="minorEastAsia" w:hAnsiTheme="minorEastAsia"/>
          <w:lang w:bidi="en-US"/>
        </w:rPr>
      </w:pPr>
    </w:p>
    <w:p w14:paraId="568E7795">
      <w:pPr>
        <w:spacing w:line="360" w:lineRule="auto"/>
        <w:rPr>
          <w:rFonts w:hint="eastAsia" w:asciiTheme="minorEastAsia" w:hAnsiTheme="minorEastAsia"/>
          <w:lang w:bidi="en-US"/>
        </w:rPr>
      </w:pPr>
    </w:p>
    <w:p w14:paraId="328E65F9">
      <w:pPr>
        <w:spacing w:line="360" w:lineRule="auto"/>
        <w:rPr>
          <w:rFonts w:hint="eastAsia" w:asciiTheme="minorEastAsia" w:hAnsiTheme="minorEastAsia"/>
          <w:lang w:bidi="en-US"/>
        </w:rPr>
      </w:pPr>
    </w:p>
    <w:p w14:paraId="1BEAC8F1">
      <w:pPr>
        <w:spacing w:line="360" w:lineRule="auto"/>
        <w:rPr>
          <w:rFonts w:hint="eastAsia" w:asciiTheme="minorEastAsia" w:hAnsiTheme="minorEastAsia"/>
          <w:lang w:bidi="en-US"/>
        </w:rPr>
      </w:pPr>
    </w:p>
    <w:p w14:paraId="192B83F8">
      <w:pPr>
        <w:spacing w:line="360" w:lineRule="auto"/>
        <w:rPr>
          <w:rFonts w:hint="eastAsia" w:asciiTheme="minorEastAsia" w:hAnsiTheme="minorEastAsia"/>
          <w:lang w:bidi="en-US"/>
        </w:rPr>
      </w:pPr>
    </w:p>
    <w:p w14:paraId="35728056">
      <w:pPr>
        <w:spacing w:line="360" w:lineRule="auto"/>
        <w:rPr>
          <w:rFonts w:hint="eastAsia" w:asciiTheme="minorEastAsia" w:hAnsiTheme="minorEastAsia"/>
          <w:lang w:bidi="en-US"/>
        </w:rPr>
      </w:pPr>
    </w:p>
    <w:p w14:paraId="04B22269">
      <w:pPr>
        <w:spacing w:line="360" w:lineRule="auto"/>
        <w:rPr>
          <w:rFonts w:hint="eastAsia" w:asciiTheme="minorEastAsia" w:hAnsiTheme="minorEastAsia"/>
          <w:lang w:bidi="en-US"/>
        </w:rPr>
      </w:pPr>
    </w:p>
    <w:p w14:paraId="40DECE57">
      <w:pPr>
        <w:pStyle w:val="3"/>
        <w:tabs>
          <w:tab w:val="center" w:pos="4156"/>
        </w:tabs>
        <w:spacing w:line="360" w:lineRule="auto"/>
        <w:rPr>
          <w:rFonts w:hint="eastAsia" w:asciiTheme="minorEastAsia" w:hAnsiTheme="minorEastAsia" w:eastAsiaTheme="minorEastAsia"/>
          <w:lang w:eastAsia="zh-CN"/>
        </w:rPr>
      </w:pPr>
      <w:bookmarkStart w:id="0" w:name="_Toc427665286"/>
      <w:r>
        <w:rPr>
          <w:rFonts w:hint="eastAsia" w:asciiTheme="minorEastAsia" w:hAnsiTheme="minorEastAsia" w:eastAsiaTheme="minorEastAsia"/>
          <w:lang w:eastAsia="zh-CN"/>
        </w:rPr>
        <w:t>第一章 内部议标邀请书</w:t>
      </w:r>
      <w:bookmarkEnd w:id="0"/>
      <w:r>
        <w:rPr>
          <w:rFonts w:asciiTheme="minorEastAsia" w:hAnsiTheme="minorEastAsia" w:eastAsiaTheme="minorEastAsia"/>
          <w:lang w:eastAsia="zh-CN"/>
        </w:rPr>
        <w:tab/>
      </w:r>
    </w:p>
    <w:p w14:paraId="3E9EC249">
      <w:pPr>
        <w:tabs>
          <w:tab w:val="left" w:pos="910"/>
        </w:tabs>
        <w:autoSpaceDE w:val="0"/>
        <w:autoSpaceDN w:val="0"/>
        <w:adjustRightInd w:val="0"/>
        <w:spacing w:line="360" w:lineRule="auto"/>
        <w:ind w:firstLine="360" w:firstLineChars="150"/>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【国联汽车动力电池研究院有限责任公司（以下简称“国联研究院”）】拟对【国家动力电池创新中心强化创新能力建设“两重”建设项目-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宋体" w:asciiTheme="minorEastAsia" w:hAnsiTheme="minorEastAsia"/>
          <w:kern w:val="0"/>
          <w:sz w:val="24"/>
          <w:szCs w:val="24"/>
        </w:rPr>
        <w:t>】进行内部议标。现邀请具备相应资质的公司参加本项目的内部议标活动。</w:t>
      </w:r>
    </w:p>
    <w:p w14:paraId="6B904CD3">
      <w:pPr>
        <w:pStyle w:val="110"/>
        <w:numPr>
          <w:ilvl w:val="0"/>
          <w:numId w:val="1"/>
        </w:numPr>
        <w:spacing w:after="0" w:line="360" w:lineRule="auto"/>
        <w:rPr>
          <w:rFonts w:hint="eastAsia" w:asciiTheme="minorEastAsia" w:hAnsiTheme="minorEastAsia"/>
          <w:bCs/>
          <w:color w:val="auto"/>
        </w:rPr>
      </w:pPr>
      <w:r>
        <w:rPr>
          <w:rFonts w:hint="eastAsia" w:cs="宋体" w:asciiTheme="minorEastAsia" w:hAnsiTheme="minorEastAsia"/>
          <w:color w:val="auto"/>
        </w:rPr>
        <w:t>项目名称：</w:t>
      </w:r>
      <w:r>
        <w:rPr>
          <w:rFonts w:hint="eastAsia" w:asciiTheme="minorEastAsia" w:hAnsiTheme="minorEastAsia"/>
          <w:bCs/>
          <w:color w:val="auto"/>
        </w:rPr>
        <w:t>【</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asciiTheme="minorEastAsia" w:hAnsiTheme="minorEastAsia"/>
          <w:bCs/>
          <w:color w:val="auto"/>
        </w:rPr>
        <w:t>】</w:t>
      </w:r>
    </w:p>
    <w:p w14:paraId="19E0207C">
      <w:pPr>
        <w:pStyle w:val="110"/>
        <w:numPr>
          <w:ilvl w:val="0"/>
          <w:numId w:val="1"/>
        </w:numPr>
        <w:spacing w:after="0" w:line="360" w:lineRule="auto"/>
        <w:rPr>
          <w:rFonts w:hint="eastAsia" w:cs="宋体" w:asciiTheme="minorEastAsia" w:hAnsiTheme="minorEastAsia"/>
          <w:color w:val="auto"/>
        </w:rPr>
      </w:pPr>
      <w:r>
        <w:rPr>
          <w:rFonts w:hint="eastAsia" w:asciiTheme="minorEastAsia" w:hAnsiTheme="minorEastAsia"/>
          <w:bCs/>
          <w:color w:val="auto"/>
        </w:rPr>
        <w:t>采购方：【</w:t>
      </w:r>
      <w:r>
        <w:rPr>
          <w:rFonts w:hint="eastAsia" w:cs="宋体" w:asciiTheme="minorEastAsia" w:hAnsiTheme="minorEastAsia"/>
        </w:rPr>
        <w:t>国联汽车动力电池研究院有限责任公司</w:t>
      </w:r>
      <w:r>
        <w:rPr>
          <w:rFonts w:hint="eastAsia" w:asciiTheme="minorEastAsia" w:hAnsiTheme="minorEastAsia"/>
          <w:bCs/>
          <w:color w:val="auto"/>
        </w:rPr>
        <w:t>】</w:t>
      </w:r>
    </w:p>
    <w:p w14:paraId="464AE2D4">
      <w:pPr>
        <w:pStyle w:val="110"/>
        <w:numPr>
          <w:ilvl w:val="0"/>
          <w:numId w:val="1"/>
        </w:numPr>
        <w:spacing w:after="0" w:line="360" w:lineRule="auto"/>
        <w:rPr>
          <w:rFonts w:hint="eastAsia" w:cs="宋体" w:asciiTheme="minorEastAsia" w:hAnsiTheme="minorEastAsia"/>
          <w:color w:val="auto"/>
        </w:rPr>
      </w:pPr>
      <w:r>
        <w:rPr>
          <w:rFonts w:cs="宋体" w:asciiTheme="minorEastAsia" w:hAnsiTheme="minorEastAsia"/>
          <w:color w:val="auto"/>
        </w:rPr>
        <w:t>投标文件递交时间和地点：所有投标文件必须于【2026-11-5 17:00】（即“递交截止日”）前由法定代表人或授权代表直接送达或邮寄送达到北京市怀柔区雁栖经济开发区兴科东大街11号5号楼。邮寄送达以投标文件到达上述指定地点的时间为准。未按上述时间要求及时递交的投标文件，国联研究院予以拒收。</w:t>
      </w:r>
    </w:p>
    <w:p w14:paraId="41ECB82E">
      <w:pPr>
        <w:pStyle w:val="110"/>
        <w:spacing w:after="0" w:line="360" w:lineRule="auto"/>
        <w:rPr>
          <w:rFonts w:hint="eastAsia" w:cs="宋体" w:asciiTheme="minorEastAsia" w:hAnsiTheme="minorEastAsia"/>
          <w:color w:val="auto"/>
        </w:rPr>
      </w:pPr>
      <w:r>
        <w:rPr>
          <w:rFonts w:cs="宋体" w:asciiTheme="minorEastAsia" w:hAnsiTheme="minorEastAsia"/>
          <w:color w:val="auto"/>
        </w:rPr>
        <w:t>4、内部议标会议召开时间和地点：【2026-11-6 9:00】，北京市怀柔区雁栖经济开发区兴科东大街11号5号楼5207会议室。</w:t>
      </w:r>
    </w:p>
    <w:p w14:paraId="31629C65">
      <w:pPr>
        <w:pStyle w:val="110"/>
        <w:spacing w:after="0" w:line="360" w:lineRule="auto"/>
        <w:rPr>
          <w:rFonts w:hint="eastAsia" w:cs="宋体" w:asciiTheme="minorEastAsia" w:hAnsiTheme="minorEastAsia"/>
          <w:color w:val="auto"/>
        </w:rPr>
      </w:pPr>
      <w:r>
        <w:rPr>
          <w:rFonts w:cs="宋体" w:asciiTheme="minorEastAsia" w:hAnsiTheme="minorEastAsia"/>
          <w:color w:val="auto"/>
        </w:rPr>
        <w:t>5、采购方式：内部</w:t>
      </w:r>
      <w:r>
        <w:rPr>
          <w:rFonts w:hint="eastAsia" w:cs="宋体" w:asciiTheme="minorEastAsia" w:hAnsiTheme="minorEastAsia"/>
          <w:color w:val="auto"/>
        </w:rPr>
        <w:t>议标</w:t>
      </w:r>
      <w:r>
        <w:rPr>
          <w:rFonts w:cs="宋体" w:asciiTheme="minorEastAsia" w:hAnsiTheme="minorEastAsia"/>
          <w:color w:val="auto"/>
        </w:rPr>
        <w:t>，即</w:t>
      </w:r>
      <w:r>
        <w:rPr>
          <w:rFonts w:hint="eastAsia" w:cs="宋体" w:asciiTheme="minorEastAsia" w:hAnsiTheme="minorEastAsia"/>
          <w:color w:val="auto"/>
        </w:rPr>
        <w:t>国联研究院</w:t>
      </w:r>
      <w:r>
        <w:rPr>
          <w:rFonts w:cs="宋体" w:asciiTheme="minorEastAsia" w:hAnsiTheme="minorEastAsia"/>
          <w:color w:val="auto"/>
        </w:rPr>
        <w:t>依据《</w:t>
      </w:r>
      <w:r>
        <w:rPr>
          <w:rFonts w:hint="eastAsia" w:cs="宋体" w:asciiTheme="minorEastAsia" w:hAnsiTheme="minorEastAsia"/>
          <w:color w:val="auto"/>
        </w:rPr>
        <w:t>国联汽车动力电池研究院有限责任公司招标管理办法</w:t>
      </w:r>
      <w:r>
        <w:rPr>
          <w:rFonts w:cs="宋体" w:asciiTheme="minorEastAsia" w:hAnsiTheme="minorEastAsia"/>
          <w:color w:val="auto"/>
        </w:rPr>
        <w:t>》</w:t>
      </w:r>
      <w:r>
        <w:rPr>
          <w:rFonts w:hint="eastAsia" w:cs="宋体" w:asciiTheme="minorEastAsia" w:hAnsiTheme="minorEastAsia"/>
          <w:color w:val="auto"/>
        </w:rPr>
        <w:t>（国联综合发</w:t>
      </w:r>
      <w:r>
        <w:rPr>
          <w:rFonts w:cs="宋体" w:asciiTheme="minorEastAsia" w:hAnsiTheme="minorEastAsia"/>
          <w:color w:val="auto"/>
        </w:rPr>
        <w:t>〔2021〕17号</w:t>
      </w:r>
      <w:r>
        <w:rPr>
          <w:rFonts w:hint="eastAsia" w:cs="宋体" w:asciiTheme="minorEastAsia" w:hAnsiTheme="minorEastAsia"/>
          <w:color w:val="auto"/>
        </w:rPr>
        <w:t>）</w:t>
      </w:r>
      <w:r>
        <w:rPr>
          <w:rFonts w:cs="宋体" w:asciiTheme="minorEastAsia" w:hAnsiTheme="minorEastAsia"/>
          <w:color w:val="auto"/>
        </w:rPr>
        <w:t>组织评审委员会，评审委员会审阅所有投标文件后按照【</w:t>
      </w:r>
      <w:r>
        <w:rPr>
          <w:rFonts w:hint="eastAsia" w:cs="宋体" w:asciiTheme="minorEastAsia" w:hAnsiTheme="minorEastAsia"/>
          <w:color w:val="auto"/>
        </w:rPr>
        <w:t>综合打分法</w:t>
      </w:r>
      <w:r>
        <w:rPr>
          <w:rFonts w:hint="eastAsia" w:asciiTheme="minorEastAsia" w:hAnsiTheme="minorEastAsia"/>
          <w:bCs/>
          <w:color w:val="auto"/>
        </w:rPr>
        <w:t>】</w:t>
      </w:r>
      <w:r>
        <w:rPr>
          <w:rFonts w:hint="eastAsia" w:cs="宋体" w:asciiTheme="minorEastAsia" w:hAnsiTheme="minorEastAsia"/>
          <w:color w:val="auto"/>
        </w:rPr>
        <w:t>进行评审并确定中标候选人。</w:t>
      </w:r>
    </w:p>
    <w:p w14:paraId="2F16A6CF">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6</w:t>
      </w:r>
      <w:r>
        <w:rPr>
          <w:rFonts w:cs="宋体" w:asciiTheme="minorEastAsia" w:hAnsiTheme="minorEastAsia"/>
          <w:color w:val="auto"/>
        </w:rPr>
        <w:t>、联系方式：</w:t>
      </w:r>
    </w:p>
    <w:p w14:paraId="130A1E0E">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地址：北京市怀柔区雁栖经济开发区兴科东大街11号5号楼</w:t>
      </w:r>
    </w:p>
    <w:p w14:paraId="7896CFDF">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联系人：【</w:t>
      </w:r>
      <w:r>
        <w:rPr>
          <w:rFonts w:hint="eastAsia" w:cs="宋体" w:asciiTheme="minorEastAsia" w:hAnsiTheme="minorEastAsia"/>
          <w:color w:val="auto"/>
          <w:lang w:val="en-US" w:eastAsia="zh-CN"/>
        </w:rPr>
        <w:t>史冬</w:t>
      </w:r>
      <w:r>
        <w:rPr>
          <w:rFonts w:hint="eastAsia" w:cs="宋体" w:asciiTheme="minorEastAsia" w:hAnsiTheme="minorEastAsia"/>
          <w:color w:val="auto"/>
        </w:rPr>
        <w:t>】</w:t>
      </w:r>
    </w:p>
    <w:p w14:paraId="4CB18CE8">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电话：【</w:t>
      </w:r>
      <w:r>
        <w:rPr>
          <w:rFonts w:hint="eastAsia" w:cs="宋体" w:asciiTheme="minorEastAsia" w:hAnsiTheme="minorEastAsia"/>
          <w:color w:val="auto"/>
          <w:lang w:val="en-US" w:eastAsia="zh-CN"/>
        </w:rPr>
        <w:t>18610947939</w:t>
      </w:r>
      <w:r>
        <w:rPr>
          <w:rFonts w:hint="eastAsia" w:cs="宋体" w:asciiTheme="minorEastAsia" w:hAnsiTheme="minorEastAsia"/>
          <w:color w:val="auto"/>
        </w:rPr>
        <w:t>】</w:t>
      </w:r>
    </w:p>
    <w:p w14:paraId="52777387">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电子邮件：【</w:t>
      </w:r>
      <w:r>
        <w:rPr>
          <w:rFonts w:hint="eastAsia" w:cs="宋体" w:asciiTheme="minorEastAsia" w:hAnsiTheme="minorEastAsia"/>
          <w:color w:val="auto"/>
          <w:lang w:val="en-US" w:eastAsia="zh-CN"/>
        </w:rPr>
        <w:t>shidong</w:t>
      </w:r>
      <w:r>
        <w:rPr>
          <w:rFonts w:hint="eastAsia" w:cs="宋体" w:asciiTheme="minorEastAsia" w:hAnsiTheme="minorEastAsia"/>
          <w:color w:val="auto"/>
        </w:rPr>
        <w:t>@glabat.com】</w:t>
      </w:r>
    </w:p>
    <w:p w14:paraId="2C59D810">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7</w:t>
      </w:r>
      <w:r>
        <w:rPr>
          <w:rFonts w:cs="宋体" w:asciiTheme="minorEastAsia" w:hAnsiTheme="minorEastAsia"/>
          <w:color w:val="auto"/>
        </w:rPr>
        <w:t>、招投标合</w:t>
      </w:r>
      <w:r>
        <w:rPr>
          <w:rFonts w:hint="eastAsia" w:cs="宋体" w:asciiTheme="minorEastAsia" w:hAnsiTheme="minorEastAsia"/>
          <w:color w:val="auto"/>
        </w:rPr>
        <w:t>规举报</w:t>
      </w:r>
    </w:p>
    <w:p w14:paraId="0DC2B9FA">
      <w:pPr>
        <w:pStyle w:val="110"/>
        <w:spacing w:after="0" w:line="360" w:lineRule="auto"/>
        <w:ind w:firstLine="480" w:firstLineChars="200"/>
        <w:rPr>
          <w:rFonts w:hint="eastAsia" w:cs="宋体" w:asciiTheme="minorEastAsia" w:hAnsiTheme="minorEastAsia"/>
          <w:color w:val="auto"/>
        </w:rPr>
      </w:pPr>
      <w:r>
        <w:rPr>
          <w:rFonts w:hint="eastAsia" w:cs="宋体" w:asciiTheme="minorEastAsia" w:hAnsiTheme="minorEastAsia"/>
          <w:color w:val="auto"/>
        </w:rPr>
        <w:t>若在招投标过程中，对任何有违反招投标法律法规及国联研究院内部规定行为的，均可以进行举报，所有举报均接受实名及匿名举报，国联研究院将切实保护举报人的合法权益。举报方式如下：</w:t>
      </w:r>
    </w:p>
    <w:p w14:paraId="02656F56">
      <w:pPr>
        <w:pStyle w:val="110"/>
        <w:spacing w:after="0" w:line="360" w:lineRule="auto"/>
        <w:jc w:val="both"/>
        <w:rPr>
          <w:rFonts w:hint="eastAsia" w:cs="宋体" w:asciiTheme="minorEastAsia" w:hAnsiTheme="minorEastAsia"/>
          <w:color w:val="auto"/>
        </w:rPr>
      </w:pPr>
      <w:r>
        <w:rPr>
          <w:rFonts w:hint="eastAsia" w:cs="宋体" w:asciiTheme="minorEastAsia" w:hAnsiTheme="minorEastAsia"/>
          <w:b/>
          <w:color w:val="auto"/>
        </w:rPr>
        <w:t>电子邮箱</w:t>
      </w:r>
      <w:r>
        <w:rPr>
          <w:rFonts w:cs="宋体" w:asciiTheme="minorEastAsia" w:hAnsiTheme="minorEastAsia"/>
          <w:color w:val="auto"/>
        </w:rPr>
        <w:t>:</w:t>
      </w:r>
      <w:r>
        <w:fldChar w:fldCharType="begin"/>
      </w:r>
      <w:r>
        <w:instrText xml:space="preserve"> HYPERLINK "javascript:;" \o "给TA写信" </w:instrText>
      </w:r>
      <w:r>
        <w:fldChar w:fldCharType="separate"/>
      </w:r>
      <w:r>
        <w:fldChar w:fldCharType="end"/>
      </w:r>
      <w:r>
        <w:rPr>
          <w:rFonts w:hint="eastAsia"/>
        </w:rPr>
        <w:t xml:space="preserve"> </w:t>
      </w:r>
    </w:p>
    <w:p w14:paraId="086CDC9C">
      <w:pPr>
        <w:pStyle w:val="110"/>
        <w:spacing w:after="0" w:line="360" w:lineRule="auto"/>
        <w:jc w:val="both"/>
        <w:rPr>
          <w:rFonts w:hint="eastAsia" w:cs="宋体" w:asciiTheme="minorEastAsia" w:hAnsiTheme="minorEastAsia"/>
          <w:color w:val="auto"/>
        </w:rPr>
      </w:pPr>
      <w:r>
        <w:rPr>
          <w:rFonts w:hint="eastAsia" w:cs="宋体" w:asciiTheme="minorEastAsia" w:hAnsiTheme="minorEastAsia"/>
          <w:b/>
          <w:color w:val="auto"/>
        </w:rPr>
        <w:t>举报热线</w:t>
      </w:r>
      <w:r>
        <w:rPr>
          <w:rFonts w:hint="eastAsia" w:cs="宋体" w:asciiTheme="minorEastAsia" w:hAnsiTheme="minorEastAsia"/>
          <w:color w:val="auto"/>
        </w:rPr>
        <w:t>:010-60662925-8115</w:t>
      </w:r>
    </w:p>
    <w:p w14:paraId="53580026">
      <w:pPr>
        <w:pStyle w:val="110"/>
        <w:spacing w:after="0" w:line="360" w:lineRule="auto"/>
        <w:jc w:val="both"/>
      </w:pPr>
      <w:r>
        <w:rPr>
          <w:rFonts w:hint="eastAsia" w:cs="宋体" w:asciiTheme="minorEastAsia" w:hAnsiTheme="minorEastAsia"/>
          <w:b/>
          <w:color w:val="auto"/>
        </w:rPr>
        <w:t>邮寄地址</w:t>
      </w:r>
      <w:r>
        <w:rPr>
          <w:rFonts w:hint="eastAsia" w:cs="宋体" w:asciiTheme="minorEastAsia" w:hAnsiTheme="minorEastAsia"/>
          <w:color w:val="auto"/>
        </w:rPr>
        <w:t>:</w:t>
      </w:r>
      <w:bookmarkStart w:id="1" w:name="_Toc427665287"/>
      <w:r>
        <w:rPr>
          <w:rFonts w:hint="eastAsia" w:cs="宋体" w:asciiTheme="minorEastAsia" w:hAnsiTheme="minorEastAsia"/>
          <w:color w:val="auto"/>
        </w:rPr>
        <w:t>北京市怀柔区雁栖经济开发区兴科东大街11号5号楼</w:t>
      </w:r>
    </w:p>
    <w:bookmarkEnd w:id="1"/>
    <w:p w14:paraId="720A9A78">
      <w:pPr>
        <w:pStyle w:val="3"/>
        <w:spacing w:line="360" w:lineRule="auto"/>
        <w:rPr>
          <w:rFonts w:hint="eastAsia" w:asciiTheme="minorEastAsia" w:hAnsiTheme="minorEastAsia" w:eastAsiaTheme="minorEastAsia"/>
          <w:lang w:eastAsia="zh-CN"/>
        </w:rPr>
      </w:pPr>
      <w:r>
        <w:rPr>
          <w:rFonts w:hint="eastAsia" w:asciiTheme="minorEastAsia" w:hAnsiTheme="minorEastAsia" w:eastAsiaTheme="minorEastAsia"/>
          <w:lang w:eastAsia="zh-CN"/>
        </w:rPr>
        <w:t>第二章投标人须知</w:t>
      </w:r>
    </w:p>
    <w:p w14:paraId="1BD4D4FF">
      <w:r>
        <w:rPr>
          <w:rFonts w:hint="eastAsia" w:asciiTheme="minorEastAsia" w:hAnsiTheme="minorEastAsia"/>
        </w:rPr>
        <w:t>前附表</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469"/>
      </w:tblGrid>
      <w:tr w14:paraId="0695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17" w:type="dxa"/>
            <w:vAlign w:val="center"/>
          </w:tcPr>
          <w:p w14:paraId="4EFC0796">
            <w:pPr>
              <w:pStyle w:val="121"/>
              <w:spacing w:line="360" w:lineRule="auto"/>
              <w:jc w:val="center"/>
              <w:rPr>
                <w:rFonts w:hint="eastAsia" w:cs="宋体" w:asciiTheme="minorEastAsia" w:hAnsiTheme="minorEastAsia"/>
                <w:b/>
              </w:rPr>
            </w:pPr>
            <w:r>
              <w:rPr>
                <w:rFonts w:hint="eastAsia" w:cs="宋体" w:asciiTheme="minorEastAsia" w:hAnsiTheme="minorEastAsia"/>
                <w:b/>
              </w:rPr>
              <w:t>序号</w:t>
            </w:r>
          </w:p>
        </w:tc>
        <w:tc>
          <w:tcPr>
            <w:tcW w:w="8469" w:type="dxa"/>
            <w:vAlign w:val="center"/>
          </w:tcPr>
          <w:p w14:paraId="35BBF43D">
            <w:pPr>
              <w:pStyle w:val="121"/>
              <w:spacing w:line="360" w:lineRule="auto"/>
              <w:jc w:val="center"/>
              <w:rPr>
                <w:rFonts w:hint="eastAsia" w:cs="宋体" w:asciiTheme="minorEastAsia" w:hAnsiTheme="minorEastAsia"/>
                <w:b/>
              </w:rPr>
            </w:pPr>
            <w:r>
              <w:rPr>
                <w:rFonts w:hint="eastAsia" w:cs="宋体" w:asciiTheme="minorEastAsia" w:hAnsiTheme="minorEastAsia"/>
                <w:b/>
              </w:rPr>
              <w:t>内容</w:t>
            </w:r>
          </w:p>
        </w:tc>
      </w:tr>
      <w:tr w14:paraId="5BFB8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817" w:type="dxa"/>
            <w:vAlign w:val="center"/>
          </w:tcPr>
          <w:p w14:paraId="32610F1C">
            <w:pPr>
              <w:pStyle w:val="121"/>
              <w:spacing w:line="360" w:lineRule="auto"/>
              <w:jc w:val="center"/>
              <w:rPr>
                <w:rFonts w:hint="eastAsia" w:cs="Arial" w:asciiTheme="minorEastAsia" w:hAnsiTheme="minorEastAsia"/>
                <w:bCs/>
              </w:rPr>
            </w:pPr>
            <w:r>
              <w:rPr>
                <w:rFonts w:cs="Arial" w:asciiTheme="minorEastAsia" w:hAnsiTheme="minorEastAsia"/>
                <w:bCs/>
              </w:rPr>
              <w:t>1</w:t>
            </w:r>
          </w:p>
        </w:tc>
        <w:tc>
          <w:tcPr>
            <w:tcW w:w="8469" w:type="dxa"/>
            <w:vAlign w:val="center"/>
          </w:tcPr>
          <w:p w14:paraId="508D68D5">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关键项:议标文件里标注“</w:t>
            </w:r>
            <w:r>
              <w:rPr>
                <w:rFonts w:asciiTheme="minorEastAsia" w:hAnsiTheme="minorEastAsia"/>
                <w:lang w:eastAsia="zh-CN"/>
              </w:rPr>
              <w:t>*”的条款为关键项，投标人必须满足，对这些条款的任何负偏离或不响应将导致投标人的投标被拒绝。</w:t>
            </w:r>
          </w:p>
        </w:tc>
      </w:tr>
      <w:tr w14:paraId="116A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817" w:type="dxa"/>
            <w:vAlign w:val="center"/>
          </w:tcPr>
          <w:p w14:paraId="5C850D97">
            <w:pPr>
              <w:pStyle w:val="121"/>
              <w:spacing w:line="360" w:lineRule="auto"/>
              <w:jc w:val="center"/>
              <w:rPr>
                <w:rFonts w:hint="eastAsia" w:cs="Arial" w:asciiTheme="minorEastAsia" w:hAnsiTheme="minorEastAsia"/>
                <w:bCs/>
              </w:rPr>
            </w:pPr>
            <w:r>
              <w:rPr>
                <w:rFonts w:cs="Arial" w:asciiTheme="minorEastAsia" w:hAnsiTheme="minorEastAsia"/>
                <w:bCs/>
              </w:rPr>
              <w:t>2</w:t>
            </w:r>
          </w:p>
        </w:tc>
        <w:tc>
          <w:tcPr>
            <w:tcW w:w="8469" w:type="dxa"/>
            <w:vAlign w:val="center"/>
          </w:tcPr>
          <w:p w14:paraId="776752A3">
            <w:pPr>
              <w:pStyle w:val="121"/>
              <w:spacing w:line="360" w:lineRule="auto"/>
              <w:rPr>
                <w:rFonts w:hint="eastAsia" w:asciiTheme="minorEastAsia" w:hAnsiTheme="minorEastAsia"/>
                <w:b/>
                <w:bCs/>
                <w:lang w:eastAsia="zh-CN"/>
              </w:rPr>
            </w:pPr>
            <w:r>
              <w:rPr>
                <w:rFonts w:asciiTheme="minorEastAsia" w:hAnsiTheme="minorEastAsia"/>
                <w:b/>
                <w:bCs/>
                <w:lang w:eastAsia="zh-CN"/>
              </w:rPr>
              <w:t>*</w:t>
            </w:r>
            <w:r>
              <w:rPr>
                <w:rFonts w:hint="eastAsia" w:asciiTheme="minorEastAsia" w:hAnsiTheme="minorEastAsia"/>
                <w:b/>
                <w:bCs/>
                <w:lang w:eastAsia="zh-CN"/>
              </w:rPr>
              <w:t>投标人资格标准包括但不限于：</w:t>
            </w:r>
          </w:p>
          <w:p w14:paraId="3A6D628D">
            <w:pPr>
              <w:pStyle w:val="112"/>
              <w:widowControl w:val="0"/>
              <w:numPr>
                <w:ilvl w:val="0"/>
                <w:numId w:val="0"/>
              </w:numPr>
              <w:spacing w:line="360" w:lineRule="auto"/>
              <w:contextualSpacing w:val="0"/>
              <w:jc w:val="both"/>
              <w:rPr>
                <w:rFonts w:hint="eastAsia" w:asciiTheme="minorEastAsia" w:hAnsiTheme="minorEastAsia"/>
                <w:b/>
                <w:bCs/>
                <w:szCs w:val="32"/>
                <w:lang w:eastAsia="zh-CN"/>
              </w:rPr>
            </w:pPr>
            <w:r>
              <w:rPr>
                <w:rFonts w:hint="eastAsia" w:cs="宋体" w:asciiTheme="minorEastAsia" w:hAnsiTheme="minorEastAsia" w:eastAsiaTheme="minorEastAsia"/>
                <w:kern w:val="0"/>
                <w:sz w:val="24"/>
                <w:szCs w:val="32"/>
                <w:lang w:val="en-US" w:eastAsia="zh-CN" w:bidi="en-US"/>
              </w:rPr>
              <w:t>对于国外、境外企业，提供根据该国/地区的法律在主要制造厂地址注册的有关证件；对于国内企业，提供经过年检的企业法人的营业执照，具备相关投标产品的经营范围</w:t>
            </w:r>
            <w:r>
              <w:rPr>
                <w:rFonts w:hint="eastAsia" w:cs="宋体" w:asciiTheme="minorEastAsia" w:hAnsiTheme="minorEastAsia"/>
                <w:kern w:val="0"/>
                <w:sz w:val="24"/>
                <w:szCs w:val="32"/>
                <w:lang w:val="en-US" w:eastAsia="zh-CN" w:bidi="en-US"/>
              </w:rPr>
              <w:t>。</w:t>
            </w:r>
          </w:p>
        </w:tc>
      </w:tr>
      <w:tr w14:paraId="797C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17" w:type="dxa"/>
            <w:vAlign w:val="center"/>
          </w:tcPr>
          <w:p w14:paraId="4063FE4E">
            <w:pPr>
              <w:pStyle w:val="121"/>
              <w:spacing w:line="360" w:lineRule="auto"/>
              <w:jc w:val="center"/>
              <w:rPr>
                <w:rFonts w:hint="eastAsia" w:cs="Arial" w:asciiTheme="minorEastAsia" w:hAnsiTheme="minorEastAsia"/>
              </w:rPr>
            </w:pPr>
            <w:r>
              <w:rPr>
                <w:rFonts w:cs="Arial" w:asciiTheme="minorEastAsia" w:hAnsiTheme="minorEastAsia"/>
                <w:bCs/>
              </w:rPr>
              <w:t>3</w:t>
            </w:r>
          </w:p>
        </w:tc>
        <w:tc>
          <w:tcPr>
            <w:tcW w:w="8469" w:type="dxa"/>
            <w:vAlign w:val="center"/>
          </w:tcPr>
          <w:p w14:paraId="571FC95B">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投标文件编制语言：中文</w:t>
            </w:r>
          </w:p>
        </w:tc>
      </w:tr>
      <w:tr w14:paraId="6E79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3A0B9528">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4</w:t>
            </w:r>
          </w:p>
        </w:tc>
        <w:tc>
          <w:tcPr>
            <w:tcW w:w="8469" w:type="dxa"/>
            <w:vAlign w:val="center"/>
          </w:tcPr>
          <w:p w14:paraId="6965F22D">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问题澄清要求：【2026-11-4 14:00】前请将加盖公章的澄清需求文件邮寄至北京市怀柔区雁栖经济开发区兴科东大街11号5号楼，或发扫描件至邮箱【shidong@glabat.com】。</w:t>
            </w:r>
          </w:p>
          <w:p w14:paraId="07088F9A">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采购方答复：【2026-11-5 12:00】前将视其必要性进行答复。</w:t>
            </w:r>
          </w:p>
        </w:tc>
      </w:tr>
      <w:tr w14:paraId="4B1E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50AC3EFD">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5</w:t>
            </w:r>
          </w:p>
        </w:tc>
        <w:tc>
          <w:tcPr>
            <w:tcW w:w="8469" w:type="dxa"/>
            <w:vAlign w:val="center"/>
          </w:tcPr>
          <w:p w14:paraId="7AF95AD4">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lang w:eastAsia="zh-CN"/>
              </w:rPr>
              <w:t>投标文件要求：正本</w:t>
            </w:r>
            <w:r>
              <w:rPr>
                <w:rFonts w:cs="宋体" w:asciiTheme="minorEastAsia" w:hAnsiTheme="minorEastAsia"/>
                <w:lang w:eastAsia="zh-CN"/>
              </w:rPr>
              <w:t xml:space="preserve"> 1 </w:t>
            </w:r>
            <w:r>
              <w:rPr>
                <w:rFonts w:hint="eastAsia" w:cs="宋体" w:asciiTheme="minorEastAsia" w:hAnsiTheme="minorEastAsia"/>
                <w:lang w:eastAsia="zh-CN"/>
              </w:rPr>
              <w:t>份，副本【2】份，电子文档</w:t>
            </w:r>
            <w:r>
              <w:rPr>
                <w:rFonts w:cs="宋体" w:asciiTheme="minorEastAsia" w:hAnsiTheme="minorEastAsia"/>
                <w:lang w:eastAsia="zh-CN"/>
              </w:rPr>
              <w:t xml:space="preserve">1 </w:t>
            </w:r>
            <w:r>
              <w:rPr>
                <w:rFonts w:hint="eastAsia" w:cs="宋体" w:asciiTheme="minorEastAsia" w:hAnsiTheme="minorEastAsia"/>
                <w:lang w:eastAsia="zh-CN"/>
              </w:rPr>
              <w:t>份。</w:t>
            </w:r>
          </w:p>
        </w:tc>
      </w:tr>
      <w:tr w14:paraId="2E52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6BF883D8">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6</w:t>
            </w:r>
          </w:p>
        </w:tc>
        <w:tc>
          <w:tcPr>
            <w:tcW w:w="8469" w:type="dxa"/>
            <w:vAlign w:val="center"/>
          </w:tcPr>
          <w:p w14:paraId="37E6DA53">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lang w:eastAsia="zh-CN"/>
              </w:rPr>
              <w:t>投标文件有效期：递交投标文件的截止日期起90天内均有效。</w:t>
            </w:r>
          </w:p>
        </w:tc>
      </w:tr>
      <w:tr w14:paraId="41D2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2A803292">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7</w:t>
            </w:r>
          </w:p>
        </w:tc>
        <w:tc>
          <w:tcPr>
            <w:tcW w:w="8469" w:type="dxa"/>
            <w:vAlign w:val="center"/>
          </w:tcPr>
          <w:p w14:paraId="1320E1BC">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b/>
                <w:lang w:eastAsia="zh-CN"/>
              </w:rPr>
              <w:t>投标保证金：</w:t>
            </w:r>
            <w:r>
              <w:rPr>
                <w:rFonts w:hint="eastAsia" w:cs="宋体" w:asciiTheme="minorEastAsia" w:hAnsiTheme="minorEastAsia"/>
                <w:lang w:val="en-US" w:eastAsia="zh-CN"/>
              </w:rPr>
              <w:t>1</w:t>
            </w:r>
            <w:r>
              <w:rPr>
                <w:rFonts w:hint="eastAsia" w:cs="宋体" w:asciiTheme="minorEastAsia" w:hAnsiTheme="minorEastAsia"/>
                <w:lang w:eastAsia="zh-CN"/>
              </w:rPr>
              <w:t>万元(人民币：</w:t>
            </w:r>
            <w:r>
              <w:rPr>
                <w:rFonts w:hint="eastAsia" w:cs="宋体" w:asciiTheme="minorEastAsia" w:hAnsiTheme="minorEastAsia"/>
                <w:lang w:val="en-US" w:eastAsia="zh-CN"/>
              </w:rPr>
              <w:t>壹</w:t>
            </w:r>
            <w:r>
              <w:rPr>
                <w:rFonts w:hint="eastAsia" w:cs="宋体" w:asciiTheme="minorEastAsia" w:hAnsiTheme="minorEastAsia"/>
                <w:lang w:eastAsia="zh-CN"/>
              </w:rPr>
              <w:t>万元)</w:t>
            </w:r>
          </w:p>
          <w:p w14:paraId="6F80A2D7">
            <w:pPr>
              <w:pStyle w:val="121"/>
              <w:spacing w:line="360" w:lineRule="auto"/>
              <w:ind w:left="315" w:hanging="315"/>
              <w:rPr>
                <w:rFonts w:hint="eastAsia" w:ascii="微软雅黑" w:hAnsi="微软雅黑" w:eastAsia="微软雅黑"/>
                <w:b/>
                <w:color w:val="FF0000"/>
                <w:szCs w:val="24"/>
                <w:lang w:eastAsia="zh-CN"/>
              </w:rPr>
            </w:pPr>
            <w:r>
              <w:rPr>
                <w:rFonts w:hint="eastAsia" w:ascii="微软雅黑" w:hAnsi="微软雅黑" w:eastAsia="微软雅黑"/>
                <w:b/>
                <w:color w:val="FF0000"/>
                <w:szCs w:val="24"/>
                <w:lang w:eastAsia="zh-CN"/>
              </w:rPr>
              <w:t>（以公司名义在2026年11月5日12:00前电汇汇入招标方指定下方账户）</w:t>
            </w:r>
          </w:p>
          <w:p w14:paraId="34F3FF21">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lang w:eastAsia="zh-CN"/>
              </w:rPr>
              <w:t>公司名：国联汽车动力电池研究院有限责任公司</w:t>
            </w:r>
          </w:p>
          <w:p w14:paraId="0F8F538F">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lang w:eastAsia="zh-CN"/>
              </w:rPr>
              <w:t>开户行：中国工商银行股份有限公司北京北太平庄支行</w:t>
            </w:r>
          </w:p>
          <w:p w14:paraId="08853BC4">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账号：0200 0100 1920 0586 522</w:t>
            </w:r>
          </w:p>
          <w:p w14:paraId="7A52851F">
            <w:pPr>
              <w:rPr>
                <w:rFonts w:hint="eastAsia" w:ascii="微软雅黑" w:hAnsi="微软雅黑" w:eastAsia="微软雅黑"/>
                <w:sz w:val="24"/>
                <w:szCs w:val="24"/>
              </w:rPr>
            </w:pPr>
            <w:r>
              <w:rPr>
                <w:rFonts w:hint="eastAsia" w:ascii="微软雅黑" w:hAnsi="微软雅黑" w:eastAsia="微软雅黑"/>
                <w:b/>
                <w:sz w:val="24"/>
                <w:szCs w:val="24"/>
              </w:rPr>
              <w:t>履约保证金：</w:t>
            </w:r>
            <w:r>
              <w:rPr>
                <w:rFonts w:hint="eastAsia" w:ascii="微软雅黑" w:hAnsi="微软雅黑" w:eastAsia="微软雅黑" w:cs="宋体"/>
                <w:sz w:val="24"/>
                <w:szCs w:val="24"/>
                <w:lang w:val="zh-CN"/>
              </w:rPr>
              <w:t>投标单位中标，合同签订后，人民币</w:t>
            </w:r>
            <w:r>
              <w:rPr>
                <w:rFonts w:hint="eastAsia" w:ascii="微软雅黑" w:hAnsi="微软雅黑" w:eastAsia="微软雅黑"/>
                <w:sz w:val="24"/>
                <w:szCs w:val="24"/>
              </w:rPr>
              <w:t>投标保证金直接转为履约保证金，于交付终验收合格后无息返还。</w:t>
            </w:r>
          </w:p>
          <w:p w14:paraId="4AC9FBEF">
            <w:pPr>
              <w:rPr>
                <w:rFonts w:hint="eastAsia" w:cs="宋体" w:asciiTheme="minorEastAsia" w:hAnsiTheme="minorEastAsia"/>
              </w:rPr>
            </w:pPr>
            <w:r>
              <w:rPr>
                <w:rFonts w:hint="eastAsia" w:ascii="微软雅黑" w:hAnsi="微软雅黑" w:eastAsia="微软雅黑"/>
                <w:sz w:val="24"/>
                <w:szCs w:val="24"/>
              </w:rPr>
              <w:t>未中标单位的投标保证金，在定标后10个工作日内，无息返还。</w:t>
            </w:r>
          </w:p>
        </w:tc>
      </w:tr>
      <w:tr w14:paraId="079D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513A1D53">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8</w:t>
            </w:r>
          </w:p>
        </w:tc>
        <w:tc>
          <w:tcPr>
            <w:tcW w:w="8469" w:type="dxa"/>
            <w:vAlign w:val="center"/>
          </w:tcPr>
          <w:p w14:paraId="3D83E2BA">
            <w:pPr>
              <w:pStyle w:val="121"/>
              <w:spacing w:line="360" w:lineRule="auto"/>
              <w:ind w:left="315" w:hanging="315"/>
              <w:rPr>
                <w:rFonts w:hint="eastAsia" w:cs="宋体" w:asciiTheme="minorEastAsia" w:hAnsiTheme="minorEastAsia"/>
                <w:lang w:eastAsia="zh-CN"/>
              </w:rPr>
            </w:pPr>
            <w:r>
              <w:rPr>
                <w:rFonts w:hint="eastAsia" w:cs="宋体" w:asciiTheme="minorEastAsia" w:hAnsiTheme="minorEastAsia"/>
                <w:lang w:eastAsia="zh-CN"/>
              </w:rPr>
              <w:t>本项目的评标方法为：【综合打分法】，详见第二章第七条相关内容。</w:t>
            </w:r>
          </w:p>
        </w:tc>
      </w:tr>
      <w:tr w14:paraId="7233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4C5F9958">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9</w:t>
            </w:r>
          </w:p>
        </w:tc>
        <w:tc>
          <w:tcPr>
            <w:tcW w:w="8469" w:type="dxa"/>
            <w:vAlign w:val="center"/>
          </w:tcPr>
          <w:p w14:paraId="0A8A9525">
            <w:pPr>
              <w:pStyle w:val="121"/>
              <w:spacing w:line="360" w:lineRule="auto"/>
              <w:ind w:left="315" w:hanging="315"/>
              <w:rPr>
                <w:rFonts w:hint="eastAsia" w:cs="Arial" w:asciiTheme="minorEastAsia" w:hAnsiTheme="minorEastAsia"/>
                <w:bCs/>
                <w:lang w:eastAsia="zh-CN"/>
              </w:rPr>
            </w:pPr>
            <w:r>
              <w:rPr>
                <w:rFonts w:asciiTheme="minorEastAsia" w:hAnsiTheme="minorEastAsia"/>
                <w:lang w:eastAsia="zh-CN"/>
              </w:rPr>
              <w:t>*</w:t>
            </w:r>
            <w:r>
              <w:rPr>
                <w:rFonts w:hint="eastAsia" w:cs="Arial" w:asciiTheme="minorEastAsia" w:hAnsiTheme="minorEastAsia"/>
                <w:bCs/>
                <w:lang w:eastAsia="zh-CN"/>
              </w:rPr>
              <w:t>特别注意</w:t>
            </w:r>
            <w:r>
              <w:rPr>
                <w:rFonts w:cs="Arial" w:asciiTheme="minorEastAsia" w:hAnsiTheme="minorEastAsia"/>
                <w:bCs/>
                <w:lang w:eastAsia="zh-CN"/>
              </w:rPr>
              <w:t>:</w:t>
            </w:r>
          </w:p>
          <w:p w14:paraId="01886D8F">
            <w:pPr>
              <w:pStyle w:val="110"/>
              <w:rPr>
                <w:rFonts w:hint="eastAsia" w:asciiTheme="minorEastAsia" w:hAnsiTheme="minorEastAsia"/>
                <w:bCs/>
                <w:color w:val="auto"/>
                <w:szCs w:val="32"/>
                <w:lang w:bidi="en-US"/>
              </w:rPr>
            </w:pPr>
            <w:r>
              <w:rPr>
                <w:rFonts w:hint="eastAsia" w:asciiTheme="minorEastAsia" w:hAnsiTheme="minorEastAsia"/>
              </w:rPr>
              <w:t>（</w:t>
            </w:r>
            <w:r>
              <w:rPr>
                <w:rFonts w:asciiTheme="minorEastAsia" w:hAnsiTheme="minorEastAsia"/>
              </w:rPr>
              <w:t>1</w:t>
            </w:r>
            <w:r>
              <w:rPr>
                <w:rFonts w:hint="eastAsia" w:asciiTheme="minorEastAsia" w:hAnsiTheme="minorEastAsia"/>
              </w:rPr>
              <w:t>）投标文件使用2个文件袋密封，</w:t>
            </w:r>
            <w:r>
              <w:rPr>
                <w:rFonts w:asciiTheme="minorEastAsia" w:hAnsiTheme="minorEastAsia"/>
              </w:rPr>
              <w:t>其中</w:t>
            </w:r>
            <w:r>
              <w:rPr>
                <w:rFonts w:hint="eastAsia" w:asciiTheme="minorEastAsia" w:hAnsiTheme="minorEastAsia"/>
              </w:rPr>
              <w:t>营业执照、开户许可证、法人授权书、供应商承诺书、身份证正反面复印件，</w:t>
            </w:r>
            <w:r>
              <w:rPr>
                <w:rFonts w:hint="eastAsia" w:asciiTheme="minorEastAsia" w:hAnsiTheme="minorEastAsia"/>
                <w:bCs/>
                <w:color w:val="auto"/>
                <w:szCs w:val="32"/>
                <w:lang w:bidi="en-US"/>
              </w:rPr>
              <w:t>须单独装袋密封在一起，方便开启；</w:t>
            </w:r>
          </w:p>
          <w:p w14:paraId="69DFB481">
            <w:pPr>
              <w:pStyle w:val="121"/>
              <w:spacing w:line="360" w:lineRule="auto"/>
              <w:rPr>
                <w:rFonts w:hint="eastAsia" w:asciiTheme="minorEastAsia" w:hAnsiTheme="minorEastAsia"/>
                <w:lang w:eastAsia="zh-CN"/>
              </w:rPr>
            </w:pPr>
            <w:r>
              <w:rPr>
                <w:rFonts w:hint="eastAsia" w:asciiTheme="minorEastAsia" w:hAnsiTheme="minorEastAsia"/>
                <w:lang w:eastAsia="zh-CN"/>
              </w:rPr>
              <w:t>（</w:t>
            </w:r>
            <w:r>
              <w:rPr>
                <w:rFonts w:asciiTheme="minorEastAsia" w:hAnsiTheme="minorEastAsia"/>
                <w:lang w:eastAsia="zh-CN"/>
              </w:rPr>
              <w:t>2</w:t>
            </w:r>
            <w:r>
              <w:rPr>
                <w:rFonts w:hint="eastAsia" w:asciiTheme="minorEastAsia" w:hAnsiTheme="minorEastAsia"/>
                <w:lang w:eastAsia="zh-CN"/>
              </w:rPr>
              <w:t>）投标总价应包括但不限于设备、附属设施、包装费、运费、保险费、增值税等；</w:t>
            </w:r>
          </w:p>
          <w:p w14:paraId="461CA37D">
            <w:pPr>
              <w:pStyle w:val="121"/>
              <w:spacing w:line="360" w:lineRule="auto"/>
              <w:rPr>
                <w:rFonts w:hint="eastAsia" w:asciiTheme="minorEastAsia" w:hAnsiTheme="minorEastAsia"/>
                <w:lang w:eastAsia="zh-CN"/>
              </w:rPr>
            </w:pPr>
            <w:r>
              <w:rPr>
                <w:rFonts w:hint="eastAsia" w:asciiTheme="minorEastAsia" w:hAnsiTheme="minorEastAsia"/>
                <w:lang w:eastAsia="zh-CN"/>
              </w:rPr>
              <w:t>（3）法定代表人授权书需投标人法定代表人签字并加盖单位公章；</w:t>
            </w:r>
          </w:p>
          <w:p w14:paraId="53B8C38E">
            <w:pPr>
              <w:pStyle w:val="121"/>
              <w:spacing w:line="360" w:lineRule="auto"/>
              <w:rPr>
                <w:rFonts w:hint="eastAsia" w:cs="宋体" w:asciiTheme="minorEastAsia" w:hAnsiTheme="minorEastAsia"/>
                <w:lang w:eastAsia="zh-CN"/>
              </w:rPr>
            </w:pPr>
            <w:r>
              <w:rPr>
                <w:rFonts w:hint="eastAsia" w:cs="宋体" w:asciiTheme="minorEastAsia" w:hAnsiTheme="minorEastAsia"/>
                <w:lang w:eastAsia="zh-CN"/>
              </w:rPr>
              <w:t>（4）本项目不接受联合体投标。</w:t>
            </w:r>
          </w:p>
        </w:tc>
      </w:tr>
      <w:tr w14:paraId="041F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17" w:type="dxa"/>
            <w:vAlign w:val="center"/>
          </w:tcPr>
          <w:p w14:paraId="2C902FCF">
            <w:pPr>
              <w:pStyle w:val="121"/>
              <w:spacing w:line="360" w:lineRule="auto"/>
              <w:jc w:val="center"/>
              <w:rPr>
                <w:rFonts w:hint="eastAsia" w:cs="Arial" w:asciiTheme="minorEastAsia" w:hAnsiTheme="minorEastAsia"/>
                <w:bCs/>
                <w:lang w:eastAsia="zh-CN"/>
              </w:rPr>
            </w:pPr>
            <w:r>
              <w:rPr>
                <w:rFonts w:hint="eastAsia" w:cs="Arial" w:asciiTheme="minorEastAsia" w:hAnsiTheme="minorEastAsia"/>
                <w:bCs/>
                <w:lang w:eastAsia="zh-CN"/>
              </w:rPr>
              <w:t>10</w:t>
            </w:r>
          </w:p>
        </w:tc>
        <w:tc>
          <w:tcPr>
            <w:tcW w:w="8469" w:type="dxa"/>
            <w:vAlign w:val="center"/>
          </w:tcPr>
          <w:p w14:paraId="3286E168">
            <w:pPr>
              <w:pStyle w:val="121"/>
              <w:spacing w:line="360" w:lineRule="auto"/>
              <w:rPr>
                <w:rFonts w:hint="eastAsia" w:asciiTheme="minorEastAsia" w:hAnsiTheme="minorEastAsia" w:cstheme="minorBidi"/>
                <w:lang w:eastAsia="zh-CN"/>
              </w:rPr>
            </w:pPr>
            <w:r>
              <w:rPr>
                <w:rFonts w:asciiTheme="minorEastAsia" w:hAnsiTheme="minorEastAsia"/>
                <w:lang w:eastAsia="zh-CN"/>
              </w:rPr>
              <w:t>*补充说明</w:t>
            </w:r>
          </w:p>
          <w:p w14:paraId="7B821803">
            <w:pPr>
              <w:pStyle w:val="121"/>
              <w:spacing w:line="360" w:lineRule="auto"/>
              <w:rPr>
                <w:rFonts w:hint="eastAsia" w:asciiTheme="minorEastAsia" w:hAnsiTheme="minorEastAsia"/>
                <w:lang w:eastAsia="zh-CN"/>
              </w:rPr>
            </w:pPr>
            <w:r>
              <w:rPr>
                <w:rFonts w:hint="eastAsia" w:asciiTheme="minorEastAsia" w:hAnsiTheme="minorEastAsia"/>
                <w:lang w:eastAsia="zh-CN"/>
              </w:rPr>
              <w:t>出现下列情况之一的</w:t>
            </w:r>
            <w:r>
              <w:rPr>
                <w:rFonts w:asciiTheme="minorEastAsia" w:hAnsiTheme="minorEastAsia"/>
                <w:lang w:eastAsia="zh-CN"/>
              </w:rPr>
              <w:t>,其投标将</w:t>
            </w:r>
            <w:r>
              <w:rPr>
                <w:rFonts w:hint="eastAsia" w:asciiTheme="minorEastAsia" w:hAnsiTheme="minorEastAsia"/>
                <w:lang w:eastAsia="zh-CN"/>
              </w:rPr>
              <w:t>被视为无效标：</w:t>
            </w:r>
          </w:p>
          <w:p w14:paraId="48E024FF">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营业执照不合格(包括但不限于注资资本、经营范围与议标文件要求不符，法定代表人与授权书授权人不一致、有效期届满等)；</w:t>
            </w:r>
          </w:p>
          <w:p w14:paraId="59F838DB">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无投标单位法定代表人授权书（</w:t>
            </w:r>
            <w:r>
              <w:rPr>
                <w:rFonts w:asciiTheme="minorEastAsia" w:hAnsiTheme="minorEastAsia"/>
                <w:lang w:eastAsia="zh-CN"/>
              </w:rPr>
              <w:t>法定</w:t>
            </w:r>
            <w:r>
              <w:rPr>
                <w:rFonts w:hint="eastAsia" w:asciiTheme="minorEastAsia" w:hAnsiTheme="minorEastAsia"/>
                <w:lang w:eastAsia="zh-CN"/>
              </w:rPr>
              <w:t>代表人直接签署的投标文件除外）或授权书不符合采购方及议标文件的要求；</w:t>
            </w:r>
          </w:p>
          <w:p w14:paraId="22AA0AD1">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无供应商承诺书，或提供的投标申请函、供应商承诺书未按第五章格式要求填写；</w:t>
            </w:r>
          </w:p>
          <w:p w14:paraId="706DC4EC">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投标有效期不符合议标文件要求；</w:t>
            </w:r>
          </w:p>
          <w:p w14:paraId="3E287923">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未按议标文件要求提供详细分项报价；</w:t>
            </w:r>
          </w:p>
          <w:p w14:paraId="31BC00AB">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未按要求提供本项目技术方案，或类似产品制造、销售证明材料严重缺漏；</w:t>
            </w:r>
          </w:p>
          <w:p w14:paraId="14726881">
            <w:pPr>
              <w:pStyle w:val="121"/>
              <w:numPr>
                <w:ilvl w:val="0"/>
                <w:numId w:val="2"/>
              </w:numPr>
              <w:spacing w:line="360" w:lineRule="auto"/>
              <w:rPr>
                <w:rFonts w:hint="eastAsia" w:asciiTheme="minorEastAsia" w:hAnsiTheme="minorEastAsia"/>
                <w:lang w:eastAsia="zh-CN"/>
              </w:rPr>
            </w:pPr>
            <w:r>
              <w:rPr>
                <w:rFonts w:hint="eastAsia" w:asciiTheme="minorEastAsia" w:hAnsiTheme="minorEastAsia"/>
                <w:lang w:eastAsia="zh-CN"/>
              </w:rPr>
              <w:t>投标文件与议标文件存在其他重大偏离。</w:t>
            </w:r>
          </w:p>
        </w:tc>
      </w:tr>
    </w:tbl>
    <w:p w14:paraId="56348C7F">
      <w:pPr>
        <w:spacing w:line="360" w:lineRule="auto"/>
        <w:jc w:val="left"/>
        <w:rPr>
          <w:rFonts w:hint="eastAsia" w:asciiTheme="minorEastAsia" w:hAnsiTheme="minorEastAsia"/>
          <w:b/>
          <w:sz w:val="28"/>
          <w:szCs w:val="28"/>
        </w:rPr>
      </w:pPr>
      <w:bookmarkStart w:id="2" w:name="_Toc389642099"/>
      <w:r>
        <w:rPr>
          <w:rFonts w:asciiTheme="minorEastAsia" w:hAnsiTheme="minorEastAsia"/>
          <w:b/>
          <w:sz w:val="28"/>
          <w:szCs w:val="28"/>
        </w:rPr>
        <w:t xml:space="preserve">2.1 </w:t>
      </w:r>
      <w:r>
        <w:rPr>
          <w:rFonts w:hint="eastAsia" w:asciiTheme="minorEastAsia" w:hAnsiTheme="minorEastAsia"/>
          <w:b/>
          <w:sz w:val="28"/>
          <w:szCs w:val="28"/>
        </w:rPr>
        <w:t>总则</w:t>
      </w:r>
      <w:bookmarkEnd w:id="2"/>
    </w:p>
    <w:p w14:paraId="38FECE29">
      <w:pPr>
        <w:pStyle w:val="110"/>
        <w:spacing w:after="0" w:line="360" w:lineRule="auto"/>
        <w:rPr>
          <w:rFonts w:hint="eastAsia" w:cs="宋体" w:asciiTheme="minorEastAsia" w:hAnsiTheme="minorEastAsia" w:eastAsiaTheme="minorEastAsia"/>
          <w:b/>
          <w:color w:val="auto"/>
          <w:lang w:val="en-US" w:eastAsia="zh-CN"/>
        </w:rPr>
      </w:pPr>
      <w:r>
        <w:rPr>
          <w:rFonts w:asciiTheme="minorEastAsia" w:hAnsiTheme="minorEastAsia"/>
          <w:b/>
          <w:bCs/>
          <w:color w:val="auto"/>
        </w:rPr>
        <w:t>2.1.1</w:t>
      </w:r>
      <w:r>
        <w:rPr>
          <w:rFonts w:hint="eastAsia" w:cs="宋体" w:asciiTheme="minorEastAsia" w:hAnsiTheme="minorEastAsia"/>
          <w:b/>
          <w:color w:val="auto"/>
        </w:rPr>
        <w:t>项目概</w:t>
      </w:r>
      <w:r>
        <w:rPr>
          <w:rFonts w:hint="eastAsia" w:cs="宋体" w:asciiTheme="minorEastAsia" w:hAnsiTheme="minorEastAsia"/>
          <w:b/>
          <w:color w:val="auto"/>
          <w:lang w:val="en-US" w:eastAsia="zh-CN"/>
        </w:rPr>
        <w:t>况</w:t>
      </w:r>
    </w:p>
    <w:p w14:paraId="2237D58F">
      <w:pPr>
        <w:pStyle w:val="110"/>
        <w:spacing w:after="0" w:line="360" w:lineRule="auto"/>
        <w:rPr>
          <w:rFonts w:hint="eastAsia" w:cs="宋体" w:asciiTheme="minorEastAsia" w:hAnsiTheme="minorEastAsia"/>
        </w:rPr>
      </w:pPr>
      <w:r>
        <w:rPr>
          <w:rFonts w:hint="eastAsia" w:cs="宋体" w:asciiTheme="minorEastAsia" w:hAnsiTheme="minorEastAsia"/>
        </w:rPr>
        <w:t>2.1.1.1 项目名称：</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p>
    <w:p w14:paraId="5308A08C">
      <w:pPr>
        <w:pStyle w:val="110"/>
        <w:spacing w:after="0" w:line="360" w:lineRule="auto"/>
        <w:rPr>
          <w:rFonts w:hint="eastAsia" w:cs="宋体" w:asciiTheme="minorEastAsia" w:hAnsiTheme="minorEastAsia"/>
        </w:rPr>
      </w:pPr>
      <w:r>
        <w:rPr>
          <w:rFonts w:hint="eastAsia" w:cs="宋体" w:asciiTheme="minorEastAsia" w:hAnsiTheme="minorEastAsia"/>
        </w:rPr>
        <w:t>2.1.1.2 项目范围：本项目包括</w:t>
      </w:r>
      <w:r>
        <w:rPr>
          <w:rFonts w:hint="eastAsia" w:cs="宋体" w:asciiTheme="minorEastAsia" w:hAnsiTheme="minorEastAsia"/>
          <w:lang w:val="en-US" w:eastAsia="zh-CN"/>
        </w:rPr>
        <w:t>密闭干燥温度控制系统1</w:t>
      </w:r>
      <w:r>
        <w:rPr>
          <w:rFonts w:hint="eastAsia" w:cs="宋体" w:asciiTheme="minorEastAsia" w:hAnsiTheme="minorEastAsia"/>
        </w:rPr>
        <w:t>台及其配件</w:t>
      </w:r>
    </w:p>
    <w:p w14:paraId="0D03ED49">
      <w:pPr>
        <w:pStyle w:val="110"/>
        <w:spacing w:after="0" w:line="360" w:lineRule="auto"/>
        <w:rPr>
          <w:rFonts w:hint="eastAsia" w:cs="宋体" w:asciiTheme="minorEastAsia" w:hAnsiTheme="minorEastAsia"/>
        </w:rPr>
      </w:pPr>
      <w:r>
        <w:rPr>
          <w:rFonts w:hint="eastAsia" w:cs="宋体" w:asciiTheme="minorEastAsia" w:hAnsiTheme="minorEastAsia"/>
        </w:rPr>
        <w:t>2.1.1.3 供应商资质：</w:t>
      </w:r>
    </w:p>
    <w:p w14:paraId="6AB2B580">
      <w:pPr>
        <w:pStyle w:val="112"/>
        <w:widowControl w:val="0"/>
        <w:spacing w:line="360" w:lineRule="auto"/>
        <w:ind w:left="0"/>
        <w:contextualSpacing w:val="0"/>
        <w:jc w:val="both"/>
        <w:rPr>
          <w:rFonts w:ascii="Times New Roman" w:hAnsi="Times New Roman"/>
          <w:lang w:eastAsia="zh-CN"/>
        </w:rPr>
      </w:pPr>
      <w:r>
        <w:rPr>
          <w:rFonts w:hint="eastAsia" w:ascii="Times New Roman" w:hAnsi="Times New Roman"/>
          <w:lang w:eastAsia="zh-CN"/>
        </w:rPr>
        <w:t>1、</w:t>
      </w:r>
      <w:r>
        <w:rPr>
          <w:rFonts w:ascii="Times New Roman" w:hAnsi="Times New Roman"/>
          <w:lang w:eastAsia="zh-CN"/>
        </w:rPr>
        <w:t>对于国外、境外企业，提供根据该国/地区的法律在主要制造厂地址注册的有关证件；对于国内企业，提供经过年检的企业法人的营业执照，具备相关投标产品的经营范围；</w:t>
      </w:r>
    </w:p>
    <w:p w14:paraId="6A50D622">
      <w:pPr>
        <w:pStyle w:val="112"/>
        <w:widowControl w:val="0"/>
        <w:spacing w:line="360" w:lineRule="auto"/>
        <w:ind w:left="0"/>
        <w:contextualSpacing w:val="0"/>
        <w:jc w:val="both"/>
        <w:rPr>
          <w:rFonts w:hint="eastAsia" w:ascii="Times New Roman" w:hAnsi="Times New Roman"/>
          <w:lang w:eastAsia="zh-CN"/>
        </w:rPr>
      </w:pPr>
      <w:r>
        <w:rPr>
          <w:rFonts w:hint="eastAsia" w:ascii="Times New Roman" w:hAnsi="Times New Roman"/>
          <w:lang w:eastAsia="zh-CN"/>
        </w:rPr>
        <w:t>2、投标人应具备密闭设备、真空设备、干燥设备、温控系统或其他非标定制设备的设计、集成、制造或销售经验。</w:t>
      </w:r>
    </w:p>
    <w:p w14:paraId="1195FD05">
      <w:pPr>
        <w:pStyle w:val="110"/>
        <w:spacing w:after="0" w:line="360" w:lineRule="auto"/>
        <w:rPr>
          <w:rFonts w:hint="eastAsia" w:cs="宋体" w:asciiTheme="minorEastAsia" w:hAnsiTheme="minorEastAsia"/>
        </w:rPr>
      </w:pPr>
      <w:r>
        <w:rPr>
          <w:rFonts w:hint="eastAsia" w:cs="宋体" w:asciiTheme="minorEastAsia" w:hAnsiTheme="minorEastAsia"/>
        </w:rPr>
        <w:t>2.1.1.4 技术要求：（详见第五章技术要求）</w:t>
      </w:r>
    </w:p>
    <w:p w14:paraId="42185ACB">
      <w:pPr>
        <w:pStyle w:val="110"/>
        <w:spacing w:after="0" w:line="360" w:lineRule="auto"/>
        <w:outlineLvl w:val="0"/>
        <w:rPr>
          <w:rFonts w:hint="eastAsia" w:cs="宋体" w:asciiTheme="minorEastAsia" w:hAnsiTheme="minorEastAsia"/>
          <w:b/>
          <w:color w:val="auto"/>
        </w:rPr>
      </w:pPr>
      <w:bookmarkStart w:id="3" w:name="_Toc389642100"/>
      <w:bookmarkStart w:id="4" w:name="_Toc389723652"/>
      <w:bookmarkStart w:id="5" w:name="_Toc389642972"/>
      <w:bookmarkStart w:id="6" w:name="_Toc389679599"/>
      <w:bookmarkStart w:id="7" w:name="_Toc427665288"/>
      <w:r>
        <w:rPr>
          <w:rFonts w:cs="宋体" w:asciiTheme="minorEastAsia" w:hAnsiTheme="minorEastAsia"/>
          <w:b/>
          <w:color w:val="auto"/>
        </w:rPr>
        <w:t>2.1.2</w:t>
      </w:r>
      <w:r>
        <w:rPr>
          <w:rFonts w:hint="eastAsia" w:cs="宋体" w:asciiTheme="minorEastAsia" w:hAnsiTheme="minorEastAsia"/>
          <w:b/>
          <w:color w:val="auto"/>
        </w:rPr>
        <w:t>合同文件解释的优先顺序</w:t>
      </w:r>
      <w:bookmarkEnd w:id="3"/>
      <w:bookmarkEnd w:id="4"/>
      <w:bookmarkEnd w:id="5"/>
      <w:bookmarkEnd w:id="6"/>
      <w:bookmarkEnd w:id="7"/>
    </w:p>
    <w:p w14:paraId="3B5FFD81">
      <w:pPr>
        <w:pStyle w:val="110"/>
        <w:spacing w:after="0" w:line="360" w:lineRule="auto"/>
        <w:ind w:firstLine="480"/>
        <w:rPr>
          <w:rFonts w:hint="eastAsia" w:cs="宋体" w:asciiTheme="minorEastAsia" w:hAnsiTheme="minorEastAsia"/>
          <w:color w:val="auto"/>
        </w:rPr>
      </w:pPr>
      <w:r>
        <w:rPr>
          <w:rFonts w:hint="eastAsia" w:cs="宋体" w:asciiTheme="minorEastAsia" w:hAnsiTheme="minorEastAsia"/>
          <w:color w:val="auto"/>
        </w:rPr>
        <w:t>下列文件视为最终合同的组成部分，各项文件应互相解释，互为说明。在解释合同时，各文件的优先顺序如下：</w:t>
      </w:r>
    </w:p>
    <w:p w14:paraId="6C8D1CF2">
      <w:pPr>
        <w:pStyle w:val="110"/>
        <w:spacing w:after="0" w:line="360" w:lineRule="auto"/>
        <w:ind w:firstLine="480"/>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1</w:t>
      </w:r>
      <w:r>
        <w:rPr>
          <w:rFonts w:hint="eastAsia" w:cs="宋体" w:asciiTheme="minorEastAsia" w:hAnsiTheme="minorEastAsia"/>
          <w:color w:val="auto"/>
        </w:rPr>
        <w:t>）双方签订的协议；</w:t>
      </w:r>
    </w:p>
    <w:p w14:paraId="7C9C5D02">
      <w:pPr>
        <w:pStyle w:val="110"/>
        <w:spacing w:after="0" w:line="360" w:lineRule="auto"/>
        <w:ind w:firstLine="480"/>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2</w:t>
      </w:r>
      <w:r>
        <w:rPr>
          <w:rFonts w:hint="eastAsia" w:cs="宋体" w:asciiTheme="minorEastAsia" w:hAnsiTheme="minorEastAsia"/>
          <w:color w:val="auto"/>
        </w:rPr>
        <w:t>）中标通知书；</w:t>
      </w:r>
    </w:p>
    <w:p w14:paraId="15A9018D">
      <w:pPr>
        <w:pStyle w:val="110"/>
        <w:spacing w:after="0" w:line="360" w:lineRule="auto"/>
        <w:ind w:firstLine="480"/>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3</w:t>
      </w:r>
      <w:r>
        <w:rPr>
          <w:rFonts w:hint="eastAsia" w:cs="宋体" w:asciiTheme="minorEastAsia" w:hAnsiTheme="minorEastAsia"/>
          <w:color w:val="auto"/>
        </w:rPr>
        <w:t>）投标文件及其相关附件（含澄清和修改文件）。</w:t>
      </w:r>
    </w:p>
    <w:p w14:paraId="0FAD4063">
      <w:pPr>
        <w:pStyle w:val="110"/>
        <w:spacing w:after="0" w:line="360" w:lineRule="auto"/>
        <w:outlineLvl w:val="0"/>
        <w:rPr>
          <w:rFonts w:hint="eastAsia" w:cs="宋体" w:asciiTheme="minorEastAsia" w:hAnsiTheme="minorEastAsia"/>
          <w:b/>
          <w:color w:val="auto"/>
        </w:rPr>
      </w:pPr>
      <w:bookmarkStart w:id="8" w:name="_Toc389642973"/>
      <w:bookmarkStart w:id="9" w:name="_Toc389723653"/>
      <w:bookmarkStart w:id="10" w:name="_Toc389642101"/>
      <w:bookmarkStart w:id="11" w:name="_Toc389679600"/>
      <w:bookmarkStart w:id="12" w:name="_Toc427665289"/>
      <w:r>
        <w:rPr>
          <w:rFonts w:asciiTheme="minorEastAsia" w:hAnsiTheme="minorEastAsia"/>
          <w:b/>
          <w:bCs/>
          <w:color w:val="auto"/>
        </w:rPr>
        <w:t>2.1.3</w:t>
      </w:r>
      <w:r>
        <w:rPr>
          <w:rFonts w:hint="eastAsia" w:cs="宋体" w:asciiTheme="minorEastAsia" w:hAnsiTheme="minorEastAsia"/>
          <w:b/>
          <w:color w:val="auto"/>
        </w:rPr>
        <w:t>定义</w:t>
      </w:r>
      <w:bookmarkEnd w:id="8"/>
      <w:bookmarkEnd w:id="9"/>
      <w:bookmarkEnd w:id="10"/>
      <w:bookmarkEnd w:id="11"/>
      <w:bookmarkEnd w:id="12"/>
    </w:p>
    <w:p w14:paraId="048BD85B">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采购方：【国联汽车动力电池研究院有限责任公司】</w:t>
      </w:r>
    </w:p>
    <w:p w14:paraId="03F7CBFE">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投标人：被邀请参与本次内部议标活动的公司</w:t>
      </w:r>
    </w:p>
    <w:p w14:paraId="545973D6">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中标人：</w:t>
      </w:r>
      <w:bookmarkStart w:id="13" w:name="OLE_LINK21"/>
      <w:bookmarkStart w:id="14" w:name="OLE_LINK22"/>
      <w:r>
        <w:rPr>
          <w:rFonts w:hint="eastAsia" w:cs="宋体" w:asciiTheme="minorEastAsia" w:hAnsiTheme="minorEastAsia"/>
          <w:color w:val="auto"/>
        </w:rPr>
        <w:t>经评审委员会评审推荐为中标候选人，</w:t>
      </w:r>
      <w:bookmarkEnd w:id="13"/>
      <w:bookmarkEnd w:id="14"/>
      <w:r>
        <w:rPr>
          <w:rFonts w:hint="eastAsia" w:cs="宋体" w:asciiTheme="minorEastAsia" w:hAnsiTheme="minorEastAsia"/>
          <w:color w:val="auto"/>
        </w:rPr>
        <w:t>并最终按照议标文件及其投标文件与国联研究院签订合同的投标人。</w:t>
      </w:r>
    </w:p>
    <w:p w14:paraId="06BDCB29">
      <w:pPr>
        <w:tabs>
          <w:tab w:val="left" w:pos="588"/>
        </w:tabs>
        <w:spacing w:line="360" w:lineRule="auto"/>
        <w:rPr>
          <w:rFonts w:hint="eastAsia" w:cs="宋体" w:asciiTheme="minorEastAsia" w:hAnsiTheme="minorEastAsia"/>
          <w:kern w:val="0"/>
          <w:sz w:val="24"/>
          <w:szCs w:val="24"/>
        </w:rPr>
      </w:pPr>
      <w:r>
        <w:rPr>
          <w:rFonts w:hint="eastAsia" w:cs="宋体" w:asciiTheme="minorEastAsia" w:hAnsiTheme="minorEastAsia"/>
          <w:b/>
          <w:kern w:val="0"/>
          <w:sz w:val="24"/>
          <w:szCs w:val="24"/>
        </w:rPr>
        <w:t>综合评分法</w:t>
      </w:r>
      <w:r>
        <w:rPr>
          <w:rFonts w:hint="eastAsia" w:cs="宋体" w:asciiTheme="minorEastAsia" w:hAnsiTheme="minorEastAsia"/>
          <w:kern w:val="0"/>
          <w:sz w:val="24"/>
          <w:szCs w:val="24"/>
        </w:rPr>
        <w:t>：在最大限度满足议标文件实质性要求的前提下，按照议标文件规定的各项因素进行量化打分，按评审后得分由高到低顺序排列，以评标总得分合计最高的投标人作为中标候选人。具体评分细则参见《综合评分表》。</w:t>
      </w:r>
    </w:p>
    <w:p w14:paraId="3A27A562">
      <w:pPr>
        <w:tabs>
          <w:tab w:val="left" w:pos="588"/>
        </w:tabs>
        <w:spacing w:line="360" w:lineRule="auto"/>
        <w:rPr>
          <w:rFonts w:hint="eastAsia" w:cs="宋体" w:asciiTheme="minorEastAsia" w:hAnsiTheme="minorEastAsia"/>
          <w:b/>
          <w:kern w:val="0"/>
          <w:sz w:val="24"/>
          <w:szCs w:val="24"/>
        </w:rPr>
      </w:pPr>
      <w:r>
        <w:rPr>
          <w:rFonts w:cs="宋体" w:asciiTheme="minorEastAsia" w:hAnsiTheme="minorEastAsia"/>
          <w:b/>
          <w:kern w:val="0"/>
          <w:sz w:val="24"/>
          <w:szCs w:val="24"/>
        </w:rPr>
        <w:t>2.1.4投标费用</w:t>
      </w:r>
    </w:p>
    <w:p w14:paraId="1E007101">
      <w:pPr>
        <w:tabs>
          <w:tab w:val="left" w:pos="588"/>
        </w:tabs>
        <w:spacing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投标人承担参与本次议标以及与本次投标相关的所有费用。投标人不得以未中标或者退出投标等事项为由，要求国联研究院承担上述费用。</w:t>
      </w:r>
    </w:p>
    <w:p w14:paraId="11FBE305">
      <w:pPr>
        <w:spacing w:line="360" w:lineRule="auto"/>
        <w:jc w:val="left"/>
        <w:rPr>
          <w:rFonts w:hint="eastAsia" w:asciiTheme="minorEastAsia" w:hAnsiTheme="minorEastAsia"/>
          <w:b/>
          <w:sz w:val="28"/>
          <w:szCs w:val="28"/>
        </w:rPr>
      </w:pPr>
      <w:bookmarkStart w:id="15" w:name="_Toc389642102"/>
      <w:r>
        <w:rPr>
          <w:rFonts w:asciiTheme="minorEastAsia" w:hAnsiTheme="minorEastAsia"/>
          <w:b/>
          <w:sz w:val="28"/>
          <w:szCs w:val="28"/>
        </w:rPr>
        <w:t xml:space="preserve">2.2 </w:t>
      </w:r>
      <w:r>
        <w:rPr>
          <w:rFonts w:hint="eastAsia" w:asciiTheme="minorEastAsia" w:hAnsiTheme="minorEastAsia"/>
          <w:b/>
          <w:sz w:val="28"/>
          <w:szCs w:val="28"/>
        </w:rPr>
        <w:t>议标文件</w:t>
      </w:r>
      <w:bookmarkEnd w:id="15"/>
    </w:p>
    <w:p w14:paraId="0740FE60">
      <w:pPr>
        <w:pStyle w:val="110"/>
        <w:spacing w:after="0" w:line="360" w:lineRule="auto"/>
        <w:outlineLvl w:val="0"/>
        <w:rPr>
          <w:rFonts w:hint="eastAsia" w:cs="宋体" w:asciiTheme="minorEastAsia" w:hAnsiTheme="minorEastAsia"/>
          <w:b/>
          <w:color w:val="auto"/>
        </w:rPr>
      </w:pPr>
      <w:bookmarkStart w:id="16" w:name="_Toc389679601"/>
      <w:bookmarkStart w:id="17" w:name="_Toc427665290"/>
      <w:bookmarkStart w:id="18" w:name="_Toc389642974"/>
      <w:bookmarkStart w:id="19" w:name="_Toc389642103"/>
      <w:bookmarkStart w:id="20" w:name="_Toc389723654"/>
      <w:r>
        <w:rPr>
          <w:rFonts w:asciiTheme="minorEastAsia" w:hAnsiTheme="minorEastAsia"/>
          <w:b/>
          <w:bCs/>
          <w:color w:val="auto"/>
        </w:rPr>
        <w:t>2.2.1</w:t>
      </w:r>
      <w:r>
        <w:rPr>
          <w:rFonts w:hint="eastAsia" w:cs="宋体" w:asciiTheme="minorEastAsia" w:hAnsiTheme="minorEastAsia"/>
          <w:b/>
          <w:color w:val="auto"/>
        </w:rPr>
        <w:t>议标文件的构成</w:t>
      </w:r>
      <w:bookmarkEnd w:id="16"/>
      <w:bookmarkEnd w:id="17"/>
      <w:bookmarkEnd w:id="18"/>
      <w:bookmarkEnd w:id="19"/>
      <w:bookmarkEnd w:id="20"/>
    </w:p>
    <w:p w14:paraId="636B6E42">
      <w:pPr>
        <w:pStyle w:val="110"/>
        <w:spacing w:after="0" w:line="360" w:lineRule="auto"/>
        <w:rPr>
          <w:rFonts w:hint="eastAsia" w:cs="宋体" w:asciiTheme="minorEastAsia" w:hAnsiTheme="minorEastAsia"/>
          <w:color w:val="auto"/>
        </w:rPr>
      </w:pPr>
      <w:r>
        <w:rPr>
          <w:rFonts w:cs="宋体" w:asciiTheme="minorEastAsia" w:hAnsiTheme="minorEastAsia"/>
          <w:color w:val="auto"/>
        </w:rPr>
        <w:t xml:space="preserve">2.2.1.1 </w:t>
      </w:r>
      <w:r>
        <w:rPr>
          <w:rFonts w:hint="eastAsia" w:cs="宋体" w:asciiTheme="minorEastAsia" w:hAnsiTheme="minorEastAsia"/>
          <w:color w:val="auto"/>
        </w:rPr>
        <w:t>议标文件由下列文件及在内部议标过程中国联研究院发出的修正和补充文件构成：</w:t>
      </w:r>
    </w:p>
    <w:p w14:paraId="2B71BB76">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1）内部</w:t>
      </w:r>
      <w:r>
        <w:rPr>
          <w:rFonts w:hint="eastAsia" w:cs="宋体" w:asciiTheme="minorEastAsia" w:hAnsiTheme="minorEastAsia"/>
          <w:color w:val="auto"/>
        </w:rPr>
        <w:t>议标</w:t>
      </w:r>
      <w:r>
        <w:rPr>
          <w:rFonts w:cs="宋体" w:asciiTheme="minorEastAsia" w:hAnsiTheme="minorEastAsia"/>
          <w:color w:val="auto"/>
        </w:rPr>
        <w:t>邀请书</w:t>
      </w:r>
    </w:p>
    <w:p w14:paraId="45315D68">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2）投标人须知</w:t>
      </w:r>
    </w:p>
    <w:p w14:paraId="11D939D3">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3）合同主要条款</w:t>
      </w:r>
    </w:p>
    <w:p w14:paraId="558BFB5D">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4）投标文件的组成</w:t>
      </w:r>
    </w:p>
    <w:p w14:paraId="763702F6">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5）技术</w:t>
      </w:r>
      <w:r>
        <w:rPr>
          <w:rFonts w:hint="eastAsia" w:cs="宋体" w:asciiTheme="minorEastAsia" w:hAnsiTheme="minorEastAsia"/>
          <w:color w:val="auto"/>
        </w:rPr>
        <w:t>要求</w:t>
      </w:r>
    </w:p>
    <w:p w14:paraId="377991F3">
      <w:pPr>
        <w:pStyle w:val="110"/>
        <w:spacing w:after="0" w:line="360" w:lineRule="auto"/>
        <w:rPr>
          <w:rFonts w:hint="eastAsia" w:cs="宋体" w:asciiTheme="minorEastAsia" w:hAnsiTheme="minorEastAsia"/>
          <w:color w:val="auto"/>
        </w:rPr>
      </w:pPr>
      <w:r>
        <w:rPr>
          <w:rFonts w:asciiTheme="minorEastAsia" w:hAnsiTheme="minorEastAsia"/>
          <w:bCs/>
          <w:color w:val="auto"/>
        </w:rPr>
        <w:t xml:space="preserve">2.2.1.2 </w:t>
      </w:r>
      <w:r>
        <w:rPr>
          <w:rFonts w:hint="eastAsia" w:asciiTheme="minorEastAsia" w:hAnsiTheme="minorEastAsia"/>
          <w:bCs/>
          <w:color w:val="auto"/>
        </w:rPr>
        <w:t>投标人应</w:t>
      </w:r>
      <w:r>
        <w:rPr>
          <w:rFonts w:hint="eastAsia" w:cs="宋体" w:asciiTheme="minorEastAsia" w:hAnsiTheme="minorEastAsia"/>
          <w:color w:val="auto"/>
        </w:rPr>
        <w:t>认真阅读并充分理解议标文件中的条款和内容。投标人未按议标文件的要求提交全部资料或提交的投标文件未对议标文件做出全面的实质性响应，国联研究院有权拒绝接受该投标文件。任何对议标文件内容的忽略或误解均不能作为投标文件未完全响应议标文件的抗辩理由。</w:t>
      </w:r>
    </w:p>
    <w:p w14:paraId="4DE0F769">
      <w:pPr>
        <w:pStyle w:val="110"/>
        <w:spacing w:after="0" w:line="360" w:lineRule="auto"/>
        <w:outlineLvl w:val="0"/>
        <w:rPr>
          <w:rFonts w:hint="eastAsia" w:cs="宋体" w:asciiTheme="minorEastAsia" w:hAnsiTheme="minorEastAsia"/>
          <w:b/>
          <w:color w:val="auto"/>
        </w:rPr>
      </w:pPr>
      <w:r>
        <w:rPr>
          <w:rFonts w:cs="宋体" w:asciiTheme="minorEastAsia" w:hAnsiTheme="minorEastAsia"/>
          <w:b/>
          <w:color w:val="auto"/>
        </w:rPr>
        <w:t>2.2.2</w:t>
      </w:r>
      <w:r>
        <w:rPr>
          <w:rFonts w:hint="eastAsia" w:cs="宋体" w:asciiTheme="minorEastAsia" w:hAnsiTheme="minorEastAsia"/>
          <w:b/>
          <w:color w:val="auto"/>
        </w:rPr>
        <w:t>议标</w:t>
      </w:r>
      <w:r>
        <w:rPr>
          <w:rFonts w:cs="宋体" w:asciiTheme="minorEastAsia" w:hAnsiTheme="minorEastAsia"/>
          <w:b/>
          <w:color w:val="auto"/>
        </w:rPr>
        <w:t>文件的澄清</w:t>
      </w:r>
    </w:p>
    <w:p w14:paraId="4A8052B5">
      <w:pPr>
        <w:pStyle w:val="110"/>
        <w:spacing w:after="0" w:line="360" w:lineRule="auto"/>
        <w:rPr>
          <w:rFonts w:hint="eastAsia" w:cs="宋体" w:asciiTheme="minorEastAsia" w:hAnsiTheme="minorEastAsia"/>
          <w:color w:val="auto"/>
        </w:rPr>
      </w:pPr>
      <w:r>
        <w:rPr>
          <w:rFonts w:cs="宋体" w:asciiTheme="minorEastAsia" w:hAnsiTheme="minorEastAsia"/>
          <w:color w:val="auto"/>
        </w:rPr>
        <w:t xml:space="preserve">2.2.2.1 </w:t>
      </w:r>
      <w:r>
        <w:rPr>
          <w:rFonts w:hint="eastAsia" w:cs="宋体" w:asciiTheme="minorEastAsia" w:hAnsiTheme="minorEastAsia"/>
          <w:color w:val="auto"/>
        </w:rPr>
        <w:t>投标人对议标文件内容存有疑惑不解时，可以在“前附表”中规定的问题澄清期限内，以书面形式向国联研究院提出澄清要求。国联研究院将视其必要性进行答复。</w:t>
      </w:r>
    </w:p>
    <w:p w14:paraId="37F1C23F">
      <w:pPr>
        <w:pStyle w:val="110"/>
        <w:spacing w:after="0" w:line="360" w:lineRule="auto"/>
        <w:rPr>
          <w:rFonts w:hint="eastAsia" w:cs="宋体" w:asciiTheme="minorEastAsia" w:hAnsiTheme="minorEastAsia"/>
          <w:color w:val="auto"/>
        </w:rPr>
      </w:pPr>
      <w:r>
        <w:rPr>
          <w:rFonts w:cs="宋体" w:asciiTheme="minorEastAsia" w:hAnsiTheme="minorEastAsia"/>
          <w:color w:val="auto"/>
        </w:rPr>
        <w:t xml:space="preserve">2.2.2.2 </w:t>
      </w:r>
      <w:r>
        <w:rPr>
          <w:rFonts w:hint="eastAsia" w:cs="宋体" w:asciiTheme="minorEastAsia" w:hAnsiTheme="minorEastAsia"/>
          <w:color w:val="auto"/>
        </w:rPr>
        <w:t>如投标人认为，议标文件的要求不能满足完成本项目的要求，投标人应提出意见。否则视为投标人可以满足本项目的要求，不能在递交截止日后提出反对或要求修改报价。</w:t>
      </w:r>
    </w:p>
    <w:p w14:paraId="50B5B238">
      <w:pPr>
        <w:pStyle w:val="110"/>
        <w:spacing w:after="0" w:line="360" w:lineRule="auto"/>
        <w:rPr>
          <w:rFonts w:hint="eastAsia" w:cs="宋体" w:asciiTheme="minorEastAsia" w:hAnsiTheme="minorEastAsia"/>
          <w:color w:val="auto"/>
        </w:rPr>
      </w:pPr>
      <w:r>
        <w:rPr>
          <w:rFonts w:cs="宋体" w:asciiTheme="minorEastAsia" w:hAnsiTheme="minorEastAsia"/>
          <w:color w:val="auto"/>
        </w:rPr>
        <w:t xml:space="preserve">2.2.2.3 </w:t>
      </w:r>
      <w:r>
        <w:rPr>
          <w:rFonts w:hint="eastAsia" w:cs="宋体" w:asciiTheme="minorEastAsia" w:hAnsiTheme="minorEastAsia"/>
          <w:color w:val="auto"/>
        </w:rPr>
        <w:t>投标人收到议标文件时，应检查文件页数和附件数量。投标人发现议标文件页数或内容缺失、内容模糊不清或者内容词义含混、意义不清时，应及时通知国联研究院更换、补全或澄清。如果投标人未按上述规定提出相关要求而产生不利后果的，国联研究院免于承担责任。</w:t>
      </w:r>
    </w:p>
    <w:p w14:paraId="6582E52F">
      <w:pPr>
        <w:pStyle w:val="110"/>
        <w:spacing w:after="0" w:line="360" w:lineRule="auto"/>
        <w:outlineLvl w:val="0"/>
        <w:rPr>
          <w:rFonts w:hint="eastAsia" w:cs="宋体" w:asciiTheme="minorEastAsia" w:hAnsiTheme="minorEastAsia"/>
          <w:b/>
          <w:color w:val="auto"/>
        </w:rPr>
      </w:pPr>
      <w:r>
        <w:rPr>
          <w:rFonts w:cs="宋体" w:asciiTheme="minorEastAsia" w:hAnsiTheme="minorEastAsia"/>
          <w:b/>
          <w:color w:val="auto"/>
        </w:rPr>
        <w:t>2.2.3</w:t>
      </w:r>
      <w:r>
        <w:rPr>
          <w:rFonts w:hint="eastAsia" w:cs="宋体" w:asciiTheme="minorEastAsia" w:hAnsiTheme="minorEastAsia"/>
          <w:b/>
          <w:color w:val="auto"/>
        </w:rPr>
        <w:t>议标</w:t>
      </w:r>
      <w:r>
        <w:rPr>
          <w:rFonts w:cs="宋体" w:asciiTheme="minorEastAsia" w:hAnsiTheme="minorEastAsia"/>
          <w:b/>
          <w:color w:val="auto"/>
        </w:rPr>
        <w:t>文件的修改</w:t>
      </w:r>
    </w:p>
    <w:p w14:paraId="699F29EB">
      <w:pPr>
        <w:pStyle w:val="110"/>
        <w:spacing w:after="0" w:line="360" w:lineRule="auto"/>
        <w:rPr>
          <w:rFonts w:hint="eastAsia" w:cs="宋体" w:asciiTheme="minorEastAsia" w:hAnsiTheme="minorEastAsia"/>
          <w:color w:val="auto"/>
        </w:rPr>
      </w:pPr>
      <w:r>
        <w:rPr>
          <w:rFonts w:cs="宋体" w:asciiTheme="minorEastAsia" w:hAnsiTheme="minorEastAsia"/>
          <w:color w:val="auto"/>
        </w:rPr>
        <w:t>2.2.3.1</w:t>
      </w:r>
      <w:r>
        <w:rPr>
          <w:rFonts w:hint="eastAsia" w:cs="宋体" w:asciiTheme="minorEastAsia" w:hAnsiTheme="minorEastAsia"/>
          <w:color w:val="auto"/>
        </w:rPr>
        <w:t>国联研究院可主动或在解答投标人提出澄清的问题时或其他合理必要时间对议标文件进行修改和补充。</w:t>
      </w:r>
    </w:p>
    <w:p w14:paraId="1A180127">
      <w:pPr>
        <w:pStyle w:val="110"/>
        <w:spacing w:after="0" w:line="360" w:lineRule="auto"/>
        <w:rPr>
          <w:rFonts w:hint="eastAsia" w:cs="宋体" w:asciiTheme="minorEastAsia" w:hAnsiTheme="minorEastAsia"/>
          <w:color w:val="auto"/>
        </w:rPr>
      </w:pPr>
      <w:r>
        <w:rPr>
          <w:rFonts w:cs="宋体" w:asciiTheme="minorEastAsia" w:hAnsiTheme="minorEastAsia"/>
          <w:color w:val="auto"/>
        </w:rPr>
        <w:t xml:space="preserve">2.2.3.2 </w:t>
      </w:r>
      <w:r>
        <w:rPr>
          <w:rFonts w:hint="eastAsia" w:cs="宋体" w:asciiTheme="minorEastAsia" w:hAnsiTheme="minorEastAsia"/>
          <w:color w:val="auto"/>
        </w:rPr>
        <w:t>议标文件的修改将以补充文件的形式通知所有投标人。如果澄清或修改的内容可能影响投标文件编制的，采购方可以视情况决定是否顺延提交投标文件的截止时间。</w:t>
      </w:r>
    </w:p>
    <w:p w14:paraId="25F0F469">
      <w:pPr>
        <w:spacing w:line="360" w:lineRule="auto"/>
        <w:jc w:val="left"/>
        <w:rPr>
          <w:rFonts w:hint="eastAsia" w:asciiTheme="minorEastAsia" w:hAnsiTheme="minorEastAsia"/>
          <w:b/>
          <w:sz w:val="28"/>
          <w:szCs w:val="28"/>
        </w:rPr>
      </w:pPr>
      <w:bookmarkStart w:id="21" w:name="_Toc389642104"/>
      <w:r>
        <w:rPr>
          <w:rFonts w:asciiTheme="minorEastAsia" w:hAnsiTheme="minorEastAsia"/>
          <w:b/>
          <w:sz w:val="28"/>
          <w:szCs w:val="28"/>
        </w:rPr>
        <w:t xml:space="preserve">2.3 </w:t>
      </w:r>
      <w:r>
        <w:rPr>
          <w:rFonts w:hint="eastAsia" w:asciiTheme="minorEastAsia" w:hAnsiTheme="minorEastAsia"/>
          <w:b/>
          <w:sz w:val="28"/>
          <w:szCs w:val="28"/>
        </w:rPr>
        <w:t>投标文件的编制</w:t>
      </w:r>
      <w:bookmarkEnd w:id="21"/>
    </w:p>
    <w:p w14:paraId="27DD1F50">
      <w:pPr>
        <w:pStyle w:val="110"/>
        <w:spacing w:after="0" w:line="360" w:lineRule="auto"/>
        <w:outlineLvl w:val="0"/>
        <w:rPr>
          <w:rFonts w:hint="eastAsia" w:cs="宋体" w:asciiTheme="minorEastAsia" w:hAnsiTheme="minorEastAsia"/>
          <w:b/>
          <w:color w:val="auto"/>
        </w:rPr>
      </w:pPr>
      <w:bookmarkStart w:id="22" w:name="_Toc389679602"/>
      <w:bookmarkStart w:id="23" w:name="_Toc389642105"/>
      <w:bookmarkStart w:id="24" w:name="_Toc389723655"/>
      <w:bookmarkStart w:id="25" w:name="_Toc427665291"/>
      <w:bookmarkStart w:id="26" w:name="_Toc389642975"/>
      <w:r>
        <w:rPr>
          <w:rFonts w:asciiTheme="minorEastAsia" w:hAnsiTheme="minorEastAsia"/>
          <w:b/>
          <w:bCs/>
          <w:color w:val="auto"/>
        </w:rPr>
        <w:t>2.3.1</w:t>
      </w:r>
      <w:r>
        <w:rPr>
          <w:rFonts w:hint="eastAsia" w:cs="宋体" w:asciiTheme="minorEastAsia" w:hAnsiTheme="minorEastAsia"/>
          <w:b/>
          <w:color w:val="auto"/>
        </w:rPr>
        <w:t>投标文件的语言</w:t>
      </w:r>
      <w:bookmarkEnd w:id="22"/>
      <w:bookmarkEnd w:id="23"/>
      <w:bookmarkEnd w:id="24"/>
      <w:bookmarkEnd w:id="25"/>
      <w:bookmarkEnd w:id="26"/>
    </w:p>
    <w:p w14:paraId="6906F842">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投标文件以及所有往来函件，均应为中文书写。</w:t>
      </w:r>
    </w:p>
    <w:p w14:paraId="4B6EDEA8">
      <w:pPr>
        <w:pStyle w:val="110"/>
        <w:spacing w:after="0" w:line="360" w:lineRule="auto"/>
        <w:outlineLvl w:val="0"/>
        <w:rPr>
          <w:rFonts w:hint="eastAsia" w:cs="宋体" w:asciiTheme="minorEastAsia" w:hAnsiTheme="minorEastAsia"/>
          <w:b/>
          <w:color w:val="auto"/>
        </w:rPr>
      </w:pPr>
      <w:bookmarkStart w:id="27" w:name="_Toc389679603"/>
      <w:bookmarkStart w:id="28" w:name="_Toc389642976"/>
      <w:bookmarkStart w:id="29" w:name="_Toc389642106"/>
      <w:bookmarkStart w:id="30" w:name="_Toc427665292"/>
      <w:bookmarkStart w:id="31" w:name="_Toc389723656"/>
      <w:r>
        <w:rPr>
          <w:rFonts w:asciiTheme="minorEastAsia" w:hAnsiTheme="minorEastAsia"/>
          <w:b/>
          <w:bCs/>
          <w:color w:val="auto"/>
        </w:rPr>
        <w:t>2.3.2</w:t>
      </w:r>
      <w:r>
        <w:rPr>
          <w:rFonts w:hint="eastAsia" w:cs="宋体" w:asciiTheme="minorEastAsia" w:hAnsiTheme="minorEastAsia"/>
          <w:b/>
          <w:color w:val="auto"/>
        </w:rPr>
        <w:t>投标文件的构成</w:t>
      </w:r>
      <w:bookmarkEnd w:id="27"/>
      <w:bookmarkEnd w:id="28"/>
      <w:bookmarkEnd w:id="29"/>
      <w:bookmarkEnd w:id="30"/>
      <w:bookmarkEnd w:id="31"/>
    </w:p>
    <w:p w14:paraId="7760B556">
      <w:pPr>
        <w:pStyle w:val="110"/>
        <w:spacing w:after="0" w:line="360" w:lineRule="auto"/>
        <w:rPr>
          <w:rFonts w:hint="eastAsia" w:cs="宋体" w:asciiTheme="minorEastAsia" w:hAnsiTheme="minorEastAsia"/>
          <w:color w:val="auto"/>
        </w:rPr>
      </w:pPr>
      <w:r>
        <w:rPr>
          <w:rFonts w:asciiTheme="minorEastAsia" w:hAnsiTheme="minorEastAsia"/>
          <w:bCs/>
          <w:color w:val="auto"/>
        </w:rPr>
        <w:t xml:space="preserve">2.3.2.1 </w:t>
      </w:r>
      <w:r>
        <w:rPr>
          <w:rFonts w:hint="eastAsia" w:asciiTheme="minorEastAsia" w:hAnsiTheme="minorEastAsia"/>
          <w:bCs/>
          <w:color w:val="auto"/>
        </w:rPr>
        <w:t>投标人应根据本款的要求准备投标文件，投标文件应包括完整填写</w:t>
      </w:r>
      <w:r>
        <w:rPr>
          <w:rFonts w:hint="eastAsia" w:cs="宋体" w:asciiTheme="minorEastAsia" w:hAnsiTheme="minorEastAsia"/>
          <w:color w:val="auto"/>
        </w:rPr>
        <w:t>的以下各文件（文件格式详见第四章）以及投标人按议标文件规定所作的修改和有效澄清答复（如果有），并按照议标文件的规定签署：</w:t>
      </w:r>
    </w:p>
    <w:p w14:paraId="54198A12">
      <w:pPr>
        <w:pStyle w:val="110"/>
        <w:spacing w:after="0" w:line="360" w:lineRule="auto"/>
        <w:rPr>
          <w:rFonts w:hint="eastAsia" w:asciiTheme="minorEastAsia" w:hAnsiTheme="minorEastAsia"/>
          <w:bCs/>
          <w:color w:val="auto"/>
        </w:rPr>
      </w:pPr>
      <w:r>
        <w:rPr>
          <w:rFonts w:hint="eastAsia" w:cs="宋体" w:asciiTheme="minorEastAsia" w:hAnsiTheme="minorEastAsia"/>
          <w:color w:val="auto"/>
        </w:rPr>
        <w:t>（1）</w:t>
      </w:r>
      <w:r>
        <w:rPr>
          <w:rFonts w:hint="eastAsia" w:asciiTheme="minorEastAsia" w:hAnsiTheme="minorEastAsia"/>
          <w:bCs/>
          <w:color w:val="auto"/>
        </w:rPr>
        <w:t>投标申请函；</w:t>
      </w:r>
    </w:p>
    <w:p w14:paraId="72D2A8AE">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2）</w:t>
      </w:r>
      <w:r>
        <w:rPr>
          <w:rFonts w:hint="eastAsia" w:cs="宋体" w:asciiTheme="minorEastAsia" w:hAnsiTheme="minorEastAsia"/>
          <w:color w:val="auto"/>
        </w:rPr>
        <w:t>国联研究院综合采购项目供应商承诺书；</w:t>
      </w:r>
    </w:p>
    <w:p w14:paraId="169E1ABE">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w:t>
      </w:r>
      <w:r>
        <w:rPr>
          <w:rFonts w:cs="宋体" w:asciiTheme="minorEastAsia" w:hAnsiTheme="minorEastAsia"/>
          <w:color w:val="auto"/>
        </w:rPr>
        <w:t>3）</w:t>
      </w:r>
      <w:r>
        <w:rPr>
          <w:rFonts w:hint="eastAsia" w:cs="宋体" w:asciiTheme="minorEastAsia" w:hAnsiTheme="minorEastAsia"/>
          <w:color w:val="auto"/>
        </w:rPr>
        <w:t>报价一览表；</w:t>
      </w:r>
    </w:p>
    <w:p w14:paraId="4A74A47E">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（4）分项报价表；</w:t>
      </w:r>
    </w:p>
    <w:p w14:paraId="77D75BD3">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（5</w:t>
      </w:r>
      <w:r>
        <w:rPr>
          <w:rFonts w:cs="宋体" w:asciiTheme="minorEastAsia" w:hAnsiTheme="minorEastAsia"/>
          <w:color w:val="auto"/>
        </w:rPr>
        <w:t>）</w:t>
      </w:r>
      <w:r>
        <w:rPr>
          <w:rFonts w:hint="eastAsia" w:cs="宋体" w:asciiTheme="minorEastAsia" w:hAnsiTheme="minorEastAsia"/>
          <w:color w:val="auto"/>
        </w:rPr>
        <w:t>法定代表人授权书；</w:t>
      </w:r>
    </w:p>
    <w:p w14:paraId="1BEA96A1">
      <w:pPr>
        <w:pStyle w:val="110"/>
        <w:spacing w:after="0" w:line="360" w:lineRule="auto"/>
        <w:rPr>
          <w:rFonts w:hint="eastAsia" w:asciiTheme="minorEastAsia" w:hAnsiTheme="minorEastAsia"/>
          <w:color w:val="auto"/>
        </w:rPr>
      </w:pPr>
      <w:r>
        <w:rPr>
          <w:rFonts w:hint="eastAsia" w:cs="宋体" w:asciiTheme="minorEastAsia" w:hAnsiTheme="minorEastAsia"/>
          <w:color w:val="auto"/>
        </w:rPr>
        <w:t>（6）本项目技术方案、项目实施方案及服务承诺；</w:t>
      </w:r>
    </w:p>
    <w:p w14:paraId="11A16466">
      <w:pPr>
        <w:pStyle w:val="110"/>
        <w:spacing w:after="0" w:line="360" w:lineRule="auto"/>
        <w:rPr>
          <w:rFonts w:hint="eastAsia" w:asciiTheme="minorEastAsia" w:hAnsiTheme="minorEastAsia"/>
          <w:color w:val="auto"/>
        </w:rPr>
      </w:pPr>
      <w:r>
        <w:rPr>
          <w:rFonts w:hint="eastAsia" w:asciiTheme="minorEastAsia" w:hAnsiTheme="minorEastAsia"/>
          <w:color w:val="auto"/>
        </w:rPr>
        <w:t>（</w:t>
      </w:r>
      <w:r>
        <w:rPr>
          <w:rFonts w:asciiTheme="minorEastAsia" w:hAnsiTheme="minorEastAsia"/>
          <w:color w:val="auto"/>
        </w:rPr>
        <w:t>7</w:t>
      </w:r>
      <w:r>
        <w:rPr>
          <w:rFonts w:hint="eastAsia" w:asciiTheme="minorEastAsia" w:hAnsiTheme="minorEastAsia"/>
          <w:color w:val="auto"/>
        </w:rPr>
        <w:t>）保密承诺函；</w:t>
      </w:r>
    </w:p>
    <w:p w14:paraId="77956296">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（8</w:t>
      </w:r>
      <w:r>
        <w:rPr>
          <w:rFonts w:cs="宋体" w:asciiTheme="minorEastAsia" w:hAnsiTheme="minorEastAsia"/>
          <w:color w:val="auto"/>
        </w:rPr>
        <w:t>）其他：</w:t>
      </w:r>
    </w:p>
    <w:p w14:paraId="38F403E9">
      <w:pPr>
        <w:pStyle w:val="110"/>
        <w:spacing w:after="0" w:line="360" w:lineRule="auto"/>
        <w:ind w:firstLine="240" w:firstLineChars="100"/>
        <w:rPr>
          <w:rFonts w:hint="eastAsia" w:cs="宋体" w:asciiTheme="minorEastAsia" w:hAnsiTheme="minorEastAsia"/>
          <w:color w:val="auto"/>
        </w:rPr>
      </w:pPr>
      <w:r>
        <w:rPr>
          <w:rFonts w:cs="宋体" w:asciiTheme="minorEastAsia" w:hAnsiTheme="minorEastAsia"/>
          <w:color w:val="auto"/>
        </w:rPr>
        <w:t>1、</w:t>
      </w:r>
      <w:r>
        <w:rPr>
          <w:rFonts w:hint="eastAsia" w:cs="宋体" w:asciiTheme="minorEastAsia" w:hAnsiTheme="minorEastAsia"/>
          <w:color w:val="auto"/>
        </w:rPr>
        <w:t>国联研究院</w:t>
      </w:r>
      <w:r>
        <w:rPr>
          <w:rFonts w:cs="宋体" w:asciiTheme="minorEastAsia" w:hAnsiTheme="minorEastAsia"/>
          <w:color w:val="auto"/>
        </w:rPr>
        <w:t>供应商信息收集表</w:t>
      </w:r>
    </w:p>
    <w:p w14:paraId="0446DF62">
      <w:pPr>
        <w:pStyle w:val="110"/>
        <w:spacing w:after="0" w:line="360" w:lineRule="auto"/>
        <w:ind w:firstLine="240" w:firstLineChars="100"/>
        <w:rPr>
          <w:rFonts w:hint="eastAsia" w:cs="宋体" w:asciiTheme="minorEastAsia" w:hAnsiTheme="minorEastAsia"/>
          <w:color w:val="auto"/>
        </w:rPr>
      </w:pPr>
      <w:r>
        <w:rPr>
          <w:rFonts w:cs="宋体" w:asciiTheme="minorEastAsia" w:hAnsiTheme="minorEastAsia"/>
          <w:color w:val="auto"/>
        </w:rPr>
        <w:t>2、类似产品制造或销售项目证明材料</w:t>
      </w:r>
    </w:p>
    <w:p w14:paraId="2DF46EFF">
      <w:pPr>
        <w:pStyle w:val="110"/>
        <w:spacing w:after="0" w:line="360" w:lineRule="auto"/>
        <w:ind w:firstLine="240" w:firstLineChars="100"/>
        <w:rPr>
          <w:rFonts w:hint="eastAsia" w:cs="宋体" w:asciiTheme="minorEastAsia" w:hAnsiTheme="minorEastAsia"/>
          <w:color w:val="auto"/>
        </w:rPr>
      </w:pPr>
      <w:r>
        <w:rPr>
          <w:rFonts w:hint="eastAsia" w:cs="宋体" w:asciiTheme="minorEastAsia" w:hAnsiTheme="minorEastAsia"/>
          <w:color w:val="auto"/>
        </w:rPr>
        <w:t>3、原厂商针对本项目的授权文件</w:t>
      </w:r>
    </w:p>
    <w:p w14:paraId="46A8221F">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（9</w:t>
      </w:r>
      <w:r>
        <w:rPr>
          <w:rFonts w:cs="宋体" w:asciiTheme="minorEastAsia" w:hAnsiTheme="minorEastAsia"/>
          <w:color w:val="auto"/>
        </w:rPr>
        <w:t>）投标人认为有必要提供的其他文件。</w:t>
      </w:r>
    </w:p>
    <w:p w14:paraId="3B31CDF0">
      <w:pPr>
        <w:pStyle w:val="110"/>
        <w:spacing w:after="0" w:line="360" w:lineRule="auto"/>
        <w:rPr>
          <w:rFonts w:hint="eastAsia" w:cs="宋体" w:asciiTheme="minorEastAsia" w:hAnsiTheme="minorEastAsia"/>
          <w:color w:val="auto"/>
        </w:rPr>
      </w:pPr>
      <w:r>
        <w:rPr>
          <w:rFonts w:asciiTheme="minorEastAsia" w:hAnsiTheme="minorEastAsia"/>
          <w:bCs/>
          <w:color w:val="auto"/>
        </w:rPr>
        <w:t xml:space="preserve">2.3.2.2 </w:t>
      </w:r>
      <w:r>
        <w:rPr>
          <w:rFonts w:hint="eastAsia" w:cs="宋体" w:asciiTheme="minorEastAsia" w:hAnsiTheme="minorEastAsia"/>
          <w:color w:val="auto"/>
        </w:rPr>
        <w:t>投标文件应按本议标文件规定的格式和要求编制。投标文件内容及题目应符合议标文件的规定，表格可以按同样格式扩展。</w:t>
      </w:r>
    </w:p>
    <w:p w14:paraId="00B63F64">
      <w:pPr>
        <w:spacing w:line="360" w:lineRule="auto"/>
        <w:jc w:val="left"/>
        <w:rPr>
          <w:rFonts w:hint="eastAsia" w:cs="Arial" w:asciiTheme="minorEastAsia" w:hAnsiTheme="minorEastAsia"/>
          <w:b/>
          <w:bCs/>
          <w:kern w:val="0"/>
          <w:sz w:val="24"/>
          <w:szCs w:val="24"/>
        </w:rPr>
      </w:pPr>
      <w:r>
        <w:rPr>
          <w:rFonts w:cs="Arial" w:asciiTheme="minorEastAsia" w:hAnsiTheme="minorEastAsia"/>
          <w:b/>
          <w:bCs/>
          <w:kern w:val="0"/>
          <w:sz w:val="24"/>
          <w:szCs w:val="24"/>
        </w:rPr>
        <w:t>2.3.3投标文件有效期</w:t>
      </w:r>
    </w:p>
    <w:p w14:paraId="6AAA9294">
      <w:pPr>
        <w:spacing w:line="360" w:lineRule="auto"/>
        <w:jc w:val="left"/>
        <w:rPr>
          <w:rFonts w:hint="eastAsia" w:cs="Arial" w:asciiTheme="minorEastAsia" w:hAnsiTheme="minorEastAsia"/>
          <w:b/>
          <w:bCs/>
          <w:kern w:val="0"/>
          <w:sz w:val="24"/>
          <w:szCs w:val="24"/>
        </w:rPr>
      </w:pPr>
      <w:r>
        <w:rPr>
          <w:rFonts w:hint="eastAsia" w:cs="Arial" w:asciiTheme="minorEastAsia" w:hAnsiTheme="minorEastAsia"/>
          <w:b/>
          <w:bCs/>
          <w:kern w:val="0"/>
          <w:sz w:val="24"/>
          <w:szCs w:val="24"/>
        </w:rPr>
        <w:t>投标文件的有效期从递交投标文件的截止日期起</w:t>
      </w:r>
      <w:r>
        <w:rPr>
          <w:rFonts w:cs="Arial" w:asciiTheme="minorEastAsia" w:hAnsiTheme="minorEastAsia"/>
          <w:b/>
          <w:bCs/>
          <w:kern w:val="0"/>
          <w:sz w:val="24"/>
          <w:szCs w:val="24"/>
        </w:rPr>
        <w:t>90天内均有效。</w:t>
      </w:r>
    </w:p>
    <w:p w14:paraId="2CC61AE6">
      <w:pPr>
        <w:spacing w:line="360" w:lineRule="auto"/>
        <w:jc w:val="left"/>
        <w:rPr>
          <w:rFonts w:hint="eastAsia" w:cs="宋体" w:asciiTheme="minorEastAsia" w:hAnsiTheme="minorEastAsia"/>
          <w:b/>
          <w:kern w:val="0"/>
          <w:sz w:val="24"/>
          <w:szCs w:val="24"/>
        </w:rPr>
      </w:pPr>
      <w:r>
        <w:rPr>
          <w:rFonts w:cs="Arial" w:asciiTheme="minorEastAsia" w:hAnsiTheme="minorEastAsia"/>
          <w:b/>
          <w:bCs/>
          <w:kern w:val="0"/>
          <w:sz w:val="24"/>
          <w:szCs w:val="24"/>
        </w:rPr>
        <w:t>2.3.4投标文件</w:t>
      </w:r>
      <w:r>
        <w:rPr>
          <w:rFonts w:hint="eastAsia" w:cs="宋体" w:asciiTheme="minorEastAsia" w:hAnsiTheme="minorEastAsia"/>
          <w:b/>
          <w:kern w:val="0"/>
          <w:sz w:val="24"/>
          <w:szCs w:val="24"/>
        </w:rPr>
        <w:t>的要求</w:t>
      </w:r>
    </w:p>
    <w:p w14:paraId="4702B468">
      <w:pPr>
        <w:pStyle w:val="110"/>
        <w:spacing w:after="0" w:line="360" w:lineRule="auto"/>
        <w:rPr>
          <w:rFonts w:hint="eastAsia" w:cs="宋体" w:asciiTheme="minorEastAsia" w:hAnsiTheme="minorEastAsia"/>
          <w:color w:val="auto"/>
        </w:rPr>
      </w:pPr>
      <w:r>
        <w:rPr>
          <w:rFonts w:asciiTheme="minorEastAsia" w:hAnsiTheme="minorEastAsia"/>
          <w:bCs/>
          <w:color w:val="auto"/>
        </w:rPr>
        <w:t xml:space="preserve">2.3.4.1 </w:t>
      </w:r>
      <w:r>
        <w:rPr>
          <w:rFonts w:hint="eastAsia" w:cs="宋体" w:asciiTheme="minorEastAsia" w:hAnsiTheme="minorEastAsia"/>
          <w:color w:val="auto"/>
        </w:rPr>
        <w:t>每份投标文件应在封面清晰地注明</w:t>
      </w:r>
      <w:r>
        <w:rPr>
          <w:rFonts w:hint="eastAsia"/>
        </w:rPr>
        <w:t>“投标文件-资质文件”、“投标文件-正本”、“投标文件-副本”</w:t>
      </w:r>
      <w:r>
        <w:rPr>
          <w:rFonts w:hint="eastAsia" w:cs="宋体" w:asciiTheme="minorEastAsia" w:hAnsiTheme="minorEastAsia"/>
          <w:color w:val="auto"/>
        </w:rPr>
        <w:t>、</w:t>
      </w:r>
      <w:r>
        <w:rPr>
          <w:rFonts w:hint="eastAsia" w:asciiTheme="minorEastAsia" w:hAnsiTheme="minorEastAsia"/>
          <w:bCs/>
          <w:color w:val="auto"/>
        </w:rPr>
        <w:t>“</w:t>
      </w:r>
      <w:r>
        <w:rPr>
          <w:rFonts w:hint="eastAsia" w:cs="宋体" w:asciiTheme="minorEastAsia" w:hAnsiTheme="minorEastAsia"/>
          <w:color w:val="auto"/>
        </w:rPr>
        <w:t>项目的名称</w:t>
      </w:r>
      <w:r>
        <w:rPr>
          <w:rFonts w:hint="eastAsia" w:asciiTheme="minorEastAsia" w:hAnsiTheme="minorEastAsia"/>
          <w:bCs/>
          <w:color w:val="auto"/>
        </w:rPr>
        <w:t>”</w:t>
      </w:r>
      <w:r>
        <w:rPr>
          <w:rFonts w:hint="eastAsia" w:cs="宋体" w:asciiTheme="minorEastAsia" w:hAnsiTheme="minorEastAsia"/>
          <w:color w:val="auto"/>
        </w:rPr>
        <w:t>、</w:t>
      </w:r>
      <w:r>
        <w:rPr>
          <w:rFonts w:hint="eastAsia" w:asciiTheme="minorEastAsia" w:hAnsiTheme="minorEastAsia"/>
          <w:bCs/>
          <w:color w:val="auto"/>
        </w:rPr>
        <w:t>“</w:t>
      </w:r>
      <w:r>
        <w:rPr>
          <w:rFonts w:hint="eastAsia" w:cs="宋体" w:asciiTheme="minorEastAsia" w:hAnsiTheme="minorEastAsia"/>
          <w:color w:val="auto"/>
        </w:rPr>
        <w:t>投标人名称</w:t>
      </w:r>
      <w:r>
        <w:rPr>
          <w:rFonts w:hint="eastAsia" w:asciiTheme="minorEastAsia" w:hAnsiTheme="minorEastAsia"/>
          <w:bCs/>
          <w:color w:val="auto"/>
        </w:rPr>
        <w:t>”</w:t>
      </w:r>
      <w:r>
        <w:rPr>
          <w:rFonts w:hint="eastAsia" w:cs="宋体" w:asciiTheme="minorEastAsia" w:hAnsiTheme="minorEastAsia"/>
          <w:color w:val="auto"/>
        </w:rPr>
        <w:t>等印记，正本与副本存在差异的，以正本为准。</w:t>
      </w:r>
    </w:p>
    <w:p w14:paraId="4DCFE53A">
      <w:pPr>
        <w:pStyle w:val="110"/>
        <w:spacing w:after="0" w:line="360" w:lineRule="auto"/>
        <w:rPr>
          <w:rFonts w:hint="eastAsia" w:cs="宋体" w:asciiTheme="minorEastAsia" w:hAnsiTheme="minorEastAsia"/>
          <w:color w:val="auto"/>
        </w:rPr>
      </w:pPr>
      <w:r>
        <w:rPr>
          <w:rFonts w:asciiTheme="minorEastAsia" w:hAnsiTheme="minorEastAsia"/>
          <w:bCs/>
          <w:color w:val="auto"/>
        </w:rPr>
        <w:t>2.3.4.2</w:t>
      </w:r>
      <w:r>
        <w:rPr>
          <w:rFonts w:hint="eastAsia" w:cs="宋体" w:asciiTheme="minorEastAsia" w:hAnsiTheme="minorEastAsia"/>
          <w:color w:val="auto"/>
        </w:rPr>
        <w:t>投标文件的正本和副本应根据议标文件要求经投标人法定代表人或授权代表签字并盖章。如果是由授权代表签名，则应在投标文件内附有授权委托书。</w:t>
      </w:r>
    </w:p>
    <w:p w14:paraId="3B99CE0B">
      <w:pPr>
        <w:pStyle w:val="110"/>
        <w:spacing w:after="0" w:line="360" w:lineRule="auto"/>
        <w:rPr>
          <w:rFonts w:hint="eastAsia" w:asciiTheme="minorEastAsia" w:hAnsiTheme="minorEastAsia"/>
          <w:bCs/>
          <w:color w:val="auto"/>
        </w:rPr>
      </w:pPr>
      <w:r>
        <w:rPr>
          <w:rFonts w:asciiTheme="minorEastAsia" w:hAnsiTheme="minorEastAsia"/>
          <w:bCs/>
          <w:color w:val="auto"/>
        </w:rPr>
        <w:t>2.3.4.3投标文件不得有字行间的书写、涂改、增删或在正文外的页头、页尾、页边的书写。对投标人必须在投标文件上改正的错误应由其法定代表人或授权代表签字并加盖公章。</w:t>
      </w:r>
    </w:p>
    <w:p w14:paraId="16824C06">
      <w:pPr>
        <w:spacing w:line="360" w:lineRule="auto"/>
        <w:jc w:val="left"/>
        <w:rPr>
          <w:rFonts w:hint="eastAsia" w:cs="Arial" w:asciiTheme="minorEastAsia" w:hAnsiTheme="minorEastAsia"/>
          <w:bCs/>
          <w:kern w:val="0"/>
          <w:sz w:val="24"/>
          <w:szCs w:val="24"/>
        </w:rPr>
      </w:pPr>
      <w:r>
        <w:rPr>
          <w:rFonts w:cs="Arial" w:asciiTheme="minorEastAsia" w:hAnsiTheme="minorEastAsia"/>
          <w:bCs/>
          <w:kern w:val="0"/>
          <w:sz w:val="24"/>
          <w:szCs w:val="24"/>
        </w:rPr>
        <w:t>2.3.4.4</w:t>
      </w:r>
      <w:r>
        <w:rPr>
          <w:rFonts w:hint="eastAsia" w:cs="Arial" w:asciiTheme="minorEastAsia" w:hAnsiTheme="minorEastAsia"/>
          <w:bCs/>
          <w:kern w:val="0"/>
          <w:sz w:val="24"/>
          <w:szCs w:val="24"/>
        </w:rPr>
        <w:t>营业执照、开户许可证、法人授权书、供应商承诺书、身份证正反面复印件须单独装袋密封在一起，方便开启</w:t>
      </w:r>
      <w:r>
        <w:rPr>
          <w:rFonts w:cs="Arial" w:asciiTheme="minorEastAsia" w:hAnsiTheme="minorEastAsia"/>
          <w:bCs/>
          <w:kern w:val="0"/>
          <w:sz w:val="24"/>
          <w:szCs w:val="24"/>
        </w:rPr>
        <w:t>。其它投标文件（正副本）统一装袋密封。封口处应有法定代表人或授权代表的签字与投标人公章。封皮上应写明项目名称、投标人名称、地址，并注明“内部</w:t>
      </w:r>
      <w:r>
        <w:rPr>
          <w:rFonts w:hint="eastAsia" w:cs="Arial" w:asciiTheme="minorEastAsia" w:hAnsiTheme="minorEastAsia"/>
          <w:bCs/>
          <w:kern w:val="0"/>
          <w:sz w:val="24"/>
          <w:szCs w:val="24"/>
        </w:rPr>
        <w:t>议标</w:t>
      </w:r>
      <w:r>
        <w:rPr>
          <w:rFonts w:cs="Arial" w:asciiTheme="minorEastAsia" w:hAnsiTheme="minorEastAsia"/>
          <w:bCs/>
          <w:kern w:val="0"/>
          <w:sz w:val="24"/>
          <w:szCs w:val="24"/>
        </w:rPr>
        <w:t>会议时启封”字样。</w:t>
      </w:r>
    </w:p>
    <w:p w14:paraId="1FAB355C">
      <w:pPr>
        <w:spacing w:line="360" w:lineRule="auto"/>
        <w:ind w:firstLine="480"/>
        <w:jc w:val="left"/>
        <w:rPr>
          <w:rFonts w:hint="eastAsia" w:asciiTheme="minorEastAsia" w:hAnsiTheme="minorEastAsia"/>
          <w:szCs w:val="21"/>
        </w:rPr>
      </w:pPr>
      <w:r>
        <w:rPr>
          <w:rFonts w:hint="eastAsia" w:cs="Arial" w:asciiTheme="minorEastAsia" w:hAnsiTheme="minorEastAsia"/>
          <w:bCs/>
          <w:kern w:val="0"/>
          <w:sz w:val="24"/>
          <w:szCs w:val="24"/>
        </w:rPr>
        <w:t>如投标人未按上述要求密封及加写相关字样，国联研究院对投标文件的误投和提前启封免于责任，对由此造成提前开封的投标文件，国联研究院有权予以拒收。</w:t>
      </w:r>
    </w:p>
    <w:p w14:paraId="062AC039">
      <w:pPr>
        <w:spacing w:line="360" w:lineRule="auto"/>
        <w:rPr>
          <w:rFonts w:hint="eastAsia" w:asciiTheme="minorEastAsia" w:hAnsiTheme="minorEastAsia"/>
          <w:b/>
          <w:sz w:val="28"/>
          <w:szCs w:val="28"/>
        </w:rPr>
      </w:pPr>
      <w:r>
        <w:rPr>
          <w:rFonts w:asciiTheme="minorEastAsia" w:hAnsiTheme="minorEastAsia"/>
          <w:b/>
          <w:sz w:val="28"/>
          <w:szCs w:val="28"/>
        </w:rPr>
        <w:t>2.</w:t>
      </w:r>
      <w:r>
        <w:rPr>
          <w:rFonts w:hint="eastAsia" w:asciiTheme="minorEastAsia" w:hAnsiTheme="minorEastAsia"/>
          <w:b/>
          <w:sz w:val="28"/>
          <w:szCs w:val="28"/>
        </w:rPr>
        <w:t xml:space="preserve">4 </w:t>
      </w:r>
      <w:r>
        <w:rPr>
          <w:rFonts w:asciiTheme="minorEastAsia" w:hAnsiTheme="minorEastAsia"/>
          <w:b/>
          <w:sz w:val="28"/>
          <w:szCs w:val="28"/>
        </w:rPr>
        <w:t>投标文件的递交</w:t>
      </w:r>
    </w:p>
    <w:p w14:paraId="311D0E38">
      <w:pPr>
        <w:spacing w:line="360" w:lineRule="auto"/>
        <w:rPr>
          <w:rFonts w:hint="eastAsia" w:asciiTheme="minorEastAsia" w:hAnsiTheme="minorEastAsia"/>
          <w:b/>
          <w:sz w:val="24"/>
          <w:szCs w:val="24"/>
        </w:rPr>
      </w:pPr>
      <w:r>
        <w:rPr>
          <w:rFonts w:asciiTheme="minorEastAsia" w:hAnsiTheme="minorEastAsia"/>
          <w:b/>
          <w:sz w:val="24"/>
          <w:szCs w:val="24"/>
        </w:rPr>
        <w:t>2.</w:t>
      </w:r>
      <w:r>
        <w:rPr>
          <w:rFonts w:hint="eastAsia" w:asciiTheme="minorEastAsia" w:hAnsiTheme="minorEastAsia"/>
          <w:b/>
          <w:sz w:val="24"/>
          <w:szCs w:val="24"/>
        </w:rPr>
        <w:t>4</w:t>
      </w:r>
      <w:r>
        <w:rPr>
          <w:rFonts w:asciiTheme="minorEastAsia" w:hAnsiTheme="minorEastAsia"/>
          <w:b/>
          <w:sz w:val="24"/>
          <w:szCs w:val="24"/>
        </w:rPr>
        <w:t>.1递交</w:t>
      </w:r>
      <w:r>
        <w:rPr>
          <w:rFonts w:hint="eastAsia" w:asciiTheme="minorEastAsia" w:hAnsiTheme="minorEastAsia"/>
          <w:b/>
          <w:sz w:val="24"/>
          <w:szCs w:val="24"/>
        </w:rPr>
        <w:t>投标文件的截止时间</w:t>
      </w:r>
    </w:p>
    <w:p w14:paraId="42B74712">
      <w:pPr>
        <w:spacing w:line="360" w:lineRule="auto"/>
        <w:rPr>
          <w:rFonts w:hint="eastAsia" w:asciiTheme="minorEastAsia" w:hAnsiTheme="minorEastAsia"/>
          <w:sz w:val="24"/>
          <w:szCs w:val="24"/>
        </w:rPr>
      </w:pPr>
      <w:r>
        <w:rPr>
          <w:rFonts w:hint="eastAsia" w:asciiTheme="minorEastAsia" w:hAnsiTheme="minorEastAsia"/>
          <w:sz w:val="24"/>
          <w:szCs w:val="24"/>
        </w:rPr>
        <w:t>所有的投标文件应按照议标文件前附表规定的时间、地点递交。</w:t>
      </w:r>
    </w:p>
    <w:p w14:paraId="0C2E5762">
      <w:pPr>
        <w:spacing w:line="360" w:lineRule="auto"/>
        <w:rPr>
          <w:rFonts w:hint="eastAsia" w:asciiTheme="minorEastAsia" w:hAnsiTheme="minorEastAsia"/>
          <w:b/>
          <w:sz w:val="24"/>
          <w:szCs w:val="24"/>
        </w:rPr>
      </w:pPr>
      <w:r>
        <w:rPr>
          <w:rFonts w:asciiTheme="minorEastAsia" w:hAnsiTheme="minorEastAsia"/>
          <w:b/>
          <w:sz w:val="24"/>
          <w:szCs w:val="24"/>
        </w:rPr>
        <w:t>2.</w:t>
      </w:r>
      <w:r>
        <w:rPr>
          <w:rFonts w:hint="eastAsia" w:asciiTheme="minorEastAsia" w:hAnsiTheme="minorEastAsia"/>
          <w:b/>
          <w:sz w:val="24"/>
          <w:szCs w:val="24"/>
        </w:rPr>
        <w:t>4</w:t>
      </w:r>
      <w:r>
        <w:rPr>
          <w:rFonts w:asciiTheme="minorEastAsia" w:hAnsiTheme="minorEastAsia"/>
          <w:b/>
          <w:sz w:val="24"/>
          <w:szCs w:val="24"/>
        </w:rPr>
        <w:t>.2</w:t>
      </w:r>
      <w:r>
        <w:rPr>
          <w:rFonts w:hint="eastAsia" w:asciiTheme="minorEastAsia" w:hAnsiTheme="minorEastAsia"/>
          <w:b/>
          <w:sz w:val="24"/>
          <w:szCs w:val="24"/>
        </w:rPr>
        <w:t>迟交的投标文件</w:t>
      </w:r>
    </w:p>
    <w:p w14:paraId="68DAF5E8">
      <w:pPr>
        <w:spacing w:line="360" w:lineRule="auto"/>
        <w:rPr>
          <w:rFonts w:hint="eastAsia" w:asciiTheme="minorEastAsia" w:hAnsiTheme="minorEastAsia"/>
          <w:sz w:val="24"/>
          <w:szCs w:val="24"/>
        </w:rPr>
      </w:pPr>
      <w:r>
        <w:rPr>
          <w:rFonts w:hint="eastAsia" w:asciiTheme="minorEastAsia" w:hAnsiTheme="minorEastAsia"/>
          <w:sz w:val="24"/>
          <w:szCs w:val="24"/>
        </w:rPr>
        <w:t>递交截止日之后递交的任何投标文件将被拒收。</w:t>
      </w:r>
    </w:p>
    <w:p w14:paraId="3318C509">
      <w:pPr>
        <w:spacing w:line="360" w:lineRule="auto"/>
        <w:rPr>
          <w:rFonts w:hint="eastAsia" w:asciiTheme="minorEastAsia" w:hAnsiTheme="minorEastAsia"/>
          <w:b/>
          <w:sz w:val="24"/>
          <w:szCs w:val="24"/>
        </w:rPr>
      </w:pPr>
      <w:r>
        <w:rPr>
          <w:rFonts w:hint="eastAsia" w:asciiTheme="minorEastAsia" w:hAnsiTheme="minorEastAsia"/>
          <w:b/>
          <w:sz w:val="24"/>
          <w:szCs w:val="24"/>
        </w:rPr>
        <w:t>2.4.3 投标文件数量</w:t>
      </w:r>
    </w:p>
    <w:p w14:paraId="584BB87E">
      <w:pPr>
        <w:spacing w:line="360" w:lineRule="auto"/>
        <w:rPr>
          <w:rFonts w:hint="eastAsia" w:asciiTheme="minorEastAsia" w:hAnsiTheme="minorEastAsia"/>
          <w:sz w:val="24"/>
          <w:szCs w:val="24"/>
        </w:rPr>
      </w:pPr>
      <w:r>
        <w:rPr>
          <w:rFonts w:hint="eastAsia" w:asciiTheme="minorEastAsia" w:hAnsiTheme="minorEastAsia"/>
          <w:sz w:val="24"/>
          <w:szCs w:val="24"/>
        </w:rPr>
        <w:t>取得三家及以上投标人的投标文件方可进行议标评审，不足三家的，酌情延长投标文件提交截止时间，该情况不适用于条款2.4.2。</w:t>
      </w:r>
    </w:p>
    <w:p w14:paraId="6BF1ABE3">
      <w:pPr>
        <w:spacing w:line="360" w:lineRule="auto"/>
        <w:jc w:val="left"/>
        <w:rPr>
          <w:rFonts w:hint="eastAsia" w:cs="Arial" w:asciiTheme="minorEastAsia" w:hAnsiTheme="minorEastAsia"/>
          <w:b/>
          <w:bCs/>
          <w:kern w:val="0"/>
          <w:sz w:val="28"/>
          <w:szCs w:val="28"/>
        </w:rPr>
      </w:pPr>
      <w:r>
        <w:rPr>
          <w:rFonts w:asciiTheme="minorEastAsia" w:hAnsiTheme="minorEastAsia"/>
          <w:b/>
          <w:sz w:val="28"/>
          <w:szCs w:val="28"/>
        </w:rPr>
        <w:t>2.</w:t>
      </w:r>
      <w:r>
        <w:rPr>
          <w:rFonts w:hint="eastAsia" w:asciiTheme="minorEastAsia" w:hAnsiTheme="minorEastAsia"/>
          <w:b/>
          <w:sz w:val="28"/>
          <w:szCs w:val="28"/>
        </w:rPr>
        <w:t xml:space="preserve">5 </w:t>
      </w:r>
      <w:r>
        <w:rPr>
          <w:rFonts w:hint="eastAsia" w:cs="宋体" w:asciiTheme="minorEastAsia" w:hAnsiTheme="minorEastAsia"/>
          <w:b/>
          <w:sz w:val="28"/>
          <w:szCs w:val="28"/>
        </w:rPr>
        <w:t>评审</w:t>
      </w:r>
    </w:p>
    <w:p w14:paraId="315C15CF">
      <w:pPr>
        <w:pStyle w:val="110"/>
        <w:spacing w:after="0" w:line="360" w:lineRule="auto"/>
        <w:outlineLvl w:val="0"/>
        <w:rPr>
          <w:rFonts w:hint="eastAsia" w:cs="宋体" w:asciiTheme="minorEastAsia" w:hAnsiTheme="minorEastAsia"/>
          <w:b/>
          <w:color w:val="auto"/>
        </w:rPr>
      </w:pPr>
      <w:bookmarkStart w:id="32" w:name="_Toc389642108"/>
      <w:bookmarkStart w:id="33" w:name="_Toc389642978"/>
      <w:bookmarkStart w:id="34" w:name="_Toc389723657"/>
      <w:bookmarkStart w:id="35" w:name="_Toc389679604"/>
      <w:bookmarkStart w:id="36" w:name="_Toc427665293"/>
      <w:r>
        <w:rPr>
          <w:rFonts w:asciiTheme="minorEastAsia" w:hAnsiTheme="minorEastAsia"/>
          <w:b/>
          <w:bCs/>
          <w:color w:val="auto"/>
        </w:rPr>
        <w:t>2.</w:t>
      </w:r>
      <w:r>
        <w:rPr>
          <w:rFonts w:hint="eastAsia" w:asciiTheme="minorEastAsia" w:hAnsiTheme="minorEastAsia"/>
          <w:b/>
          <w:bCs/>
          <w:color w:val="auto"/>
        </w:rPr>
        <w:t>5</w:t>
      </w:r>
      <w:r>
        <w:rPr>
          <w:rFonts w:asciiTheme="minorEastAsia" w:hAnsiTheme="minorEastAsia"/>
          <w:b/>
          <w:bCs/>
          <w:color w:val="auto"/>
        </w:rPr>
        <w:t>.1</w:t>
      </w:r>
      <w:r>
        <w:rPr>
          <w:rFonts w:hint="eastAsia" w:cs="宋体" w:asciiTheme="minorEastAsia" w:hAnsiTheme="minorEastAsia"/>
          <w:b/>
          <w:color w:val="auto"/>
        </w:rPr>
        <w:t>评审委员会</w:t>
      </w:r>
      <w:bookmarkEnd w:id="32"/>
      <w:bookmarkEnd w:id="33"/>
      <w:bookmarkEnd w:id="34"/>
      <w:bookmarkEnd w:id="35"/>
      <w:bookmarkEnd w:id="36"/>
    </w:p>
    <w:p w14:paraId="34BD60DE">
      <w:pPr>
        <w:pStyle w:val="110"/>
        <w:spacing w:after="0" w:line="360" w:lineRule="auto"/>
        <w:rPr>
          <w:rFonts w:hint="eastAsia" w:cs="宋体" w:asciiTheme="minorEastAsia" w:hAnsiTheme="minorEastAsia"/>
          <w:color w:val="auto"/>
        </w:rPr>
      </w:pPr>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.1.1评审委员会的组成。</w:t>
      </w:r>
      <w:r>
        <w:rPr>
          <w:rFonts w:hint="eastAsia" w:cs="宋体" w:asciiTheme="minorEastAsia" w:hAnsiTheme="minorEastAsia"/>
          <w:color w:val="auto"/>
        </w:rPr>
        <w:t>国联研究院</w:t>
      </w:r>
      <w:r>
        <w:rPr>
          <w:rFonts w:cs="宋体" w:asciiTheme="minorEastAsia" w:hAnsiTheme="minorEastAsia"/>
          <w:color w:val="auto"/>
        </w:rPr>
        <w:t>组织有关方面的专业人士组成</w:t>
      </w:r>
      <w:r>
        <w:rPr>
          <w:rFonts w:hint="eastAsia" w:cs="宋体" w:asciiTheme="minorEastAsia" w:hAnsiTheme="minorEastAsia"/>
          <w:color w:val="auto"/>
        </w:rPr>
        <w:t>5人以上单数的评审委员会，其中技术、经济等方面的专家不应少于成员总数的三分之二。</w:t>
      </w:r>
    </w:p>
    <w:p w14:paraId="603A071A">
      <w:pPr>
        <w:pStyle w:val="110"/>
        <w:spacing w:after="0" w:line="360" w:lineRule="auto"/>
        <w:rPr>
          <w:rFonts w:hint="eastAsia" w:cs="宋体" w:asciiTheme="minorEastAsia" w:hAnsiTheme="minorEastAsia"/>
          <w:b/>
          <w:color w:val="auto"/>
        </w:rPr>
      </w:pPr>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.1.2评审委员会成员的回避。</w:t>
      </w:r>
      <w:r>
        <w:rPr>
          <w:rFonts w:hint="eastAsia" w:cs="宋体" w:asciiTheme="minorEastAsia" w:hAnsiTheme="minorEastAsia"/>
          <w:color w:val="auto"/>
        </w:rPr>
        <w:t>评审委员会成员与投标人有利害关系的，应当主动回避。</w:t>
      </w:r>
    </w:p>
    <w:p w14:paraId="2D2F6436">
      <w:pPr>
        <w:pStyle w:val="110"/>
        <w:spacing w:after="0" w:line="360" w:lineRule="auto"/>
        <w:rPr>
          <w:rFonts w:hint="eastAsia" w:cs="宋体" w:asciiTheme="minorEastAsia" w:hAnsiTheme="minorEastAsia"/>
          <w:b/>
          <w:color w:val="auto"/>
        </w:rPr>
      </w:pPr>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.1.3评审委员会成员的更换。</w:t>
      </w:r>
      <w:r>
        <w:rPr>
          <w:rFonts w:hint="eastAsia" w:cs="宋体" w:asciiTheme="minorEastAsia" w:hAnsiTheme="minorEastAsia"/>
          <w:color w:val="auto"/>
        </w:rPr>
        <w:t>评审委员会成员有回避事由、擅离职守或者因健康等原因不能继续评审的，应当及时更换。被更换的评审委员会成员作出的评审结论无效，由更换后的评审委员会成员重新进行评审。</w:t>
      </w:r>
    </w:p>
    <w:p w14:paraId="0E243773">
      <w:pPr>
        <w:pStyle w:val="110"/>
        <w:spacing w:after="0" w:line="360" w:lineRule="auto"/>
        <w:outlineLvl w:val="0"/>
        <w:rPr>
          <w:rFonts w:hint="eastAsia" w:cs="宋体" w:asciiTheme="minorEastAsia" w:hAnsiTheme="minorEastAsia"/>
          <w:b/>
          <w:color w:val="auto"/>
        </w:rPr>
      </w:pPr>
      <w:bookmarkStart w:id="37" w:name="_Toc389642109"/>
      <w:bookmarkStart w:id="38" w:name="_Toc389642979"/>
      <w:bookmarkStart w:id="39" w:name="_Toc389723658"/>
      <w:bookmarkStart w:id="40" w:name="_Toc389679605"/>
      <w:bookmarkStart w:id="41" w:name="_Toc427665294"/>
      <w:r>
        <w:rPr>
          <w:rFonts w:asciiTheme="minorEastAsia" w:hAnsiTheme="minorEastAsia"/>
          <w:b/>
          <w:bCs/>
          <w:color w:val="auto"/>
        </w:rPr>
        <w:t>2.</w:t>
      </w:r>
      <w:r>
        <w:rPr>
          <w:rFonts w:hint="eastAsia" w:asciiTheme="minorEastAsia" w:hAnsiTheme="minorEastAsia"/>
          <w:b/>
          <w:bCs/>
          <w:color w:val="auto"/>
        </w:rPr>
        <w:t>5</w:t>
      </w:r>
      <w:r>
        <w:rPr>
          <w:rFonts w:asciiTheme="minorEastAsia" w:hAnsiTheme="minorEastAsia"/>
          <w:b/>
          <w:bCs/>
          <w:color w:val="auto"/>
        </w:rPr>
        <w:t>.2</w:t>
      </w:r>
      <w:r>
        <w:rPr>
          <w:rFonts w:hint="eastAsia" w:cs="宋体" w:asciiTheme="minorEastAsia" w:hAnsiTheme="minorEastAsia"/>
          <w:b/>
          <w:color w:val="auto"/>
        </w:rPr>
        <w:t>评审方式</w:t>
      </w:r>
      <w:bookmarkEnd w:id="37"/>
      <w:bookmarkEnd w:id="38"/>
      <w:bookmarkEnd w:id="39"/>
      <w:bookmarkEnd w:id="40"/>
      <w:bookmarkEnd w:id="41"/>
    </w:p>
    <w:p w14:paraId="1E6FE35D">
      <w:pPr>
        <w:pStyle w:val="110"/>
        <w:spacing w:after="0" w:line="360" w:lineRule="auto"/>
        <w:outlineLvl w:val="0"/>
        <w:rPr>
          <w:rFonts w:hint="eastAsia" w:cs="宋体" w:asciiTheme="minorEastAsia" w:hAnsiTheme="minorEastAsia"/>
          <w:color w:val="auto"/>
        </w:rPr>
      </w:pPr>
      <w:bookmarkStart w:id="42" w:name="_Toc427665295"/>
      <w:bookmarkStart w:id="43" w:name="_Toc389642980"/>
      <w:bookmarkStart w:id="44" w:name="_Toc389679606"/>
      <w:bookmarkStart w:id="45" w:name="_Toc389723659"/>
      <w:bookmarkStart w:id="46" w:name="_Toc389642110"/>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.2.1陈述</w:t>
      </w:r>
      <w:bookmarkEnd w:id="42"/>
      <w:bookmarkEnd w:id="43"/>
      <w:bookmarkEnd w:id="44"/>
      <w:bookmarkEnd w:id="45"/>
      <w:bookmarkEnd w:id="46"/>
    </w:p>
    <w:p w14:paraId="45721D2F">
      <w:pPr>
        <w:tabs>
          <w:tab w:val="left" w:pos="588"/>
        </w:tabs>
        <w:spacing w:line="360" w:lineRule="auto"/>
        <w:ind w:firstLine="480"/>
        <w:rPr>
          <w:rFonts w:hint="eastAsia" w:asciiTheme="minorEastAsia" w:hAnsiTheme="minorEastAsia"/>
        </w:rPr>
      </w:pPr>
      <w:r>
        <w:rPr>
          <w:rFonts w:hint="eastAsia" w:asciiTheme="minorEastAsia" w:hAnsiTheme="minorEastAsia"/>
          <w:sz w:val="24"/>
        </w:rPr>
        <w:t>内部议标会议时，国联研究院将当众宣读投标人名称、投标价格以及国联研究院认为合适的其他内容。国联研究院作内部议标会议记录,并存档备查。</w:t>
      </w:r>
    </w:p>
    <w:p w14:paraId="45D668F8">
      <w:pPr>
        <w:pStyle w:val="110"/>
        <w:spacing w:after="0" w:line="360" w:lineRule="auto"/>
        <w:outlineLvl w:val="0"/>
        <w:rPr>
          <w:rFonts w:hint="eastAsia" w:cs="宋体" w:asciiTheme="minorEastAsia" w:hAnsiTheme="minorEastAsia"/>
          <w:color w:val="auto"/>
        </w:rPr>
      </w:pPr>
      <w:bookmarkStart w:id="47" w:name="_Toc389723660"/>
      <w:bookmarkStart w:id="48" w:name="_Toc389642981"/>
      <w:bookmarkStart w:id="49" w:name="_Toc427665296"/>
      <w:bookmarkStart w:id="50" w:name="_Toc389679607"/>
      <w:bookmarkStart w:id="51" w:name="_Toc389642111"/>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.2.2投标文件的质疑和澄清</w:t>
      </w:r>
      <w:bookmarkEnd w:id="47"/>
      <w:bookmarkEnd w:id="48"/>
      <w:bookmarkEnd w:id="49"/>
      <w:bookmarkEnd w:id="50"/>
      <w:bookmarkEnd w:id="51"/>
    </w:p>
    <w:p w14:paraId="4D85C437">
      <w:pPr>
        <w:pStyle w:val="110"/>
        <w:spacing w:after="0" w:line="360" w:lineRule="auto"/>
        <w:ind w:firstLine="480" w:firstLineChars="200"/>
        <w:outlineLvl w:val="0"/>
        <w:rPr>
          <w:rFonts w:hint="eastAsia" w:asciiTheme="minorEastAsia" w:hAnsiTheme="minorEastAsia"/>
          <w:color w:val="auto"/>
        </w:rPr>
      </w:pPr>
      <w:bookmarkStart w:id="52" w:name="_Toc389723661"/>
      <w:bookmarkStart w:id="53" w:name="_Toc389679608"/>
      <w:bookmarkStart w:id="54" w:name="_Toc427665297"/>
      <w:r>
        <w:rPr>
          <w:rFonts w:hint="eastAsia" w:asciiTheme="minorEastAsia" w:hAnsiTheme="minorEastAsia"/>
          <w:color w:val="auto"/>
        </w:rPr>
        <w:t>在内部议标期间，内部议标评审委员会有权以书面方式要求投标人对其投标文件中含义不明确、对同类问题表述不一致或者有明显文字和计算错误的内容作必要的澄清。投标人澄清应在内部议标评审委员会规定的时间内以书面方式进行，并不得超出投标文件范围或者改变投标文件的实质性内容。澄清文件将作为投标文件内容的一部分。</w:t>
      </w:r>
      <w:bookmarkEnd w:id="52"/>
      <w:bookmarkEnd w:id="53"/>
      <w:bookmarkEnd w:id="54"/>
    </w:p>
    <w:p w14:paraId="1FC54ED2">
      <w:pPr>
        <w:pStyle w:val="110"/>
        <w:spacing w:after="0" w:line="360" w:lineRule="auto"/>
        <w:outlineLvl w:val="0"/>
        <w:rPr>
          <w:rFonts w:hint="eastAsia" w:asciiTheme="minorEastAsia" w:hAnsiTheme="minorEastAsia"/>
          <w:color w:val="auto"/>
        </w:rPr>
      </w:pPr>
      <w:r>
        <w:rPr>
          <w:rFonts w:hint="eastAsia" w:asciiTheme="minorEastAsia" w:hAnsiTheme="minorEastAsia"/>
          <w:color w:val="auto"/>
        </w:rPr>
        <w:t>2.5.2.3 初步评审</w:t>
      </w:r>
    </w:p>
    <w:p w14:paraId="6F6D83C9">
      <w:pPr>
        <w:spacing w:line="360" w:lineRule="auto"/>
        <w:ind w:firstLine="480" w:firstLineChars="200"/>
        <w:rPr>
          <w:rFonts w:hint="eastAsia" w:ascii="宋体" w:hAnsi="宋体"/>
          <w:sz w:val="24"/>
          <w:szCs w:val="24"/>
        </w:rPr>
      </w:pPr>
      <w:r>
        <w:rPr>
          <w:rFonts w:hint="eastAsia" w:ascii="宋体" w:hAnsi="宋体"/>
          <w:sz w:val="24"/>
          <w:szCs w:val="24"/>
        </w:rPr>
        <w:t>内部评审委员会在开标后将初步审查投标文件的实质性响应情况。议标文件中标注“*”号的为关键条款，投标人必须满足，对这些条款的任何负偏离或不响应将导致投标人的投标被拒绝。初审不合格的投标人不再进入详细评审。</w:t>
      </w:r>
    </w:p>
    <w:p w14:paraId="5765AA62">
      <w:pPr>
        <w:spacing w:line="360" w:lineRule="auto"/>
        <w:ind w:firstLine="480" w:firstLineChars="200"/>
        <w:rPr>
          <w:rFonts w:hint="eastAsia" w:asciiTheme="minorEastAsia" w:hAnsiTheme="minorEastAsia"/>
          <w:sz w:val="24"/>
        </w:rPr>
      </w:pPr>
      <w:r>
        <w:rPr>
          <w:rFonts w:hint="eastAsia" w:ascii="宋体" w:hAnsi="宋体"/>
          <w:sz w:val="24"/>
          <w:szCs w:val="24"/>
        </w:rPr>
        <w:t>如发生初步评审不合格、投标人弄虚作假、投</w:t>
      </w:r>
      <w:r>
        <w:rPr>
          <w:rFonts w:hint="eastAsia" w:asciiTheme="minorEastAsia" w:hAnsiTheme="minorEastAsia"/>
          <w:sz w:val="24"/>
        </w:rPr>
        <w:t>标人报价明显低于其他投标人或低于成本价、投标未实质响应或存在重大偏差等情况，内部评审委员会否决不合格投标后，因有效投标不足三个使得投标明显缺乏竞争的，评审委员会可以否决全部投标，也可以在继续对剩余的有效投标人进行评标。评审委员会否决了全部投标的，采购方可重新议标。</w:t>
      </w:r>
    </w:p>
    <w:p w14:paraId="72464EE2">
      <w:pPr>
        <w:pStyle w:val="110"/>
        <w:spacing w:after="0" w:line="360" w:lineRule="auto"/>
        <w:outlineLvl w:val="0"/>
        <w:rPr>
          <w:rFonts w:hint="eastAsia" w:cs="宋体" w:asciiTheme="minorEastAsia" w:hAnsiTheme="minorEastAsia"/>
          <w:color w:val="auto"/>
        </w:rPr>
      </w:pPr>
      <w:bookmarkStart w:id="55" w:name="_Toc389723662"/>
      <w:bookmarkStart w:id="56" w:name="_Toc427665298"/>
      <w:bookmarkStart w:id="57" w:name="_Toc389679609"/>
      <w:bookmarkStart w:id="58" w:name="_Toc389642982"/>
      <w:bookmarkStart w:id="59" w:name="_Toc389642112"/>
      <w:r>
        <w:rPr>
          <w:rFonts w:cs="宋体" w:asciiTheme="minorEastAsia" w:hAnsiTheme="minorEastAsia"/>
          <w:color w:val="auto"/>
        </w:rPr>
        <w:t>2.</w:t>
      </w:r>
      <w:r>
        <w:rPr>
          <w:rFonts w:hint="eastAsia" w:cs="宋体" w:asciiTheme="minorEastAsia" w:hAnsiTheme="minorEastAsia"/>
          <w:color w:val="auto"/>
        </w:rPr>
        <w:t>5</w:t>
      </w:r>
      <w:r>
        <w:rPr>
          <w:rFonts w:cs="宋体" w:asciiTheme="minorEastAsia" w:hAnsiTheme="minorEastAsia"/>
          <w:color w:val="auto"/>
        </w:rPr>
        <w:t>.2.</w:t>
      </w:r>
      <w:r>
        <w:rPr>
          <w:rFonts w:hint="eastAsia" w:cs="宋体" w:asciiTheme="minorEastAsia" w:hAnsiTheme="minorEastAsia"/>
          <w:color w:val="auto"/>
        </w:rPr>
        <w:t>4详细评审/</w:t>
      </w:r>
      <w:r>
        <w:rPr>
          <w:rFonts w:cs="宋体" w:asciiTheme="minorEastAsia" w:hAnsiTheme="minorEastAsia"/>
          <w:color w:val="auto"/>
        </w:rPr>
        <w:t>评分</w:t>
      </w:r>
      <w:bookmarkEnd w:id="55"/>
      <w:bookmarkEnd w:id="56"/>
      <w:bookmarkEnd w:id="57"/>
      <w:bookmarkEnd w:id="58"/>
      <w:bookmarkEnd w:id="59"/>
    </w:p>
    <w:p w14:paraId="0E4D39C7">
      <w:pPr>
        <w:tabs>
          <w:tab w:val="left" w:pos="588"/>
        </w:tabs>
        <w:spacing w:line="360" w:lineRule="auto"/>
        <w:ind w:firstLine="480"/>
        <w:rPr>
          <w:rFonts w:hint="eastAsia" w:asciiTheme="minorEastAsia" w:hAnsiTheme="minorEastAsia"/>
          <w:sz w:val="24"/>
        </w:rPr>
      </w:pPr>
      <w:r>
        <w:rPr>
          <w:rFonts w:hint="eastAsia" w:asciiTheme="minorEastAsia" w:hAnsiTheme="minorEastAsia"/>
          <w:sz w:val="24"/>
        </w:rPr>
        <w:t>内部议标评审委员会将</w:t>
      </w:r>
      <w:r>
        <w:rPr>
          <w:rFonts w:hint="eastAsia" w:ascii="宋体" w:hAnsi="宋体"/>
          <w:sz w:val="24"/>
          <w:szCs w:val="24"/>
        </w:rPr>
        <w:t>对初审合格的投标文件进行详细评审,即</w:t>
      </w:r>
      <w:r>
        <w:rPr>
          <w:rFonts w:hint="eastAsia" w:asciiTheme="minorEastAsia" w:hAnsiTheme="minorEastAsia"/>
          <w:sz w:val="24"/>
        </w:rPr>
        <w:t>根据议标文件规定的评选原则和方法，对投标文件商务、技术和报价作进一步的比较和评价。</w:t>
      </w:r>
    </w:p>
    <w:p w14:paraId="43AE3C91">
      <w:pPr>
        <w:tabs>
          <w:tab w:val="left" w:pos="588"/>
        </w:tabs>
        <w:spacing w:line="360" w:lineRule="auto"/>
        <w:ind w:firstLine="480" w:firstLineChars="200"/>
        <w:rPr>
          <w:rFonts w:hint="eastAsia" w:asciiTheme="minorEastAsia" w:hAnsiTheme="minorEastAsia"/>
          <w:sz w:val="24"/>
        </w:rPr>
      </w:pPr>
      <w:r>
        <w:rPr>
          <w:rFonts w:hint="eastAsia" w:asciiTheme="minorEastAsia" w:hAnsiTheme="minorEastAsia"/>
          <w:sz w:val="24"/>
        </w:rPr>
        <w:t>如果投标报价相同，则根据投标人的业绩、规模等因素的优劣推荐中标候选人。但是对于投标人报价明显低于其他投标人，投标人又不能合理说明或者不能提供相关证明材料证明其报价不低于成本的，不能成为中标候选人。</w:t>
      </w:r>
    </w:p>
    <w:p w14:paraId="0E566623">
      <w:pPr>
        <w:tabs>
          <w:tab w:val="left" w:pos="588"/>
        </w:tabs>
        <w:spacing w:line="360" w:lineRule="auto"/>
        <w:rPr>
          <w:rFonts w:hint="eastAsia" w:asciiTheme="minorEastAsia" w:hAnsiTheme="minorEastAsia"/>
          <w:b/>
          <w:sz w:val="24"/>
        </w:rPr>
      </w:pPr>
      <w:r>
        <w:rPr>
          <w:rFonts w:asciiTheme="minorEastAsia" w:hAnsiTheme="minorEastAsia"/>
          <w:b/>
          <w:sz w:val="24"/>
        </w:rPr>
        <w:t>2.</w:t>
      </w:r>
      <w:r>
        <w:rPr>
          <w:rFonts w:hint="eastAsia" w:asciiTheme="minorEastAsia" w:hAnsiTheme="minorEastAsia"/>
          <w:b/>
          <w:sz w:val="24"/>
        </w:rPr>
        <w:t>5</w:t>
      </w:r>
      <w:r>
        <w:rPr>
          <w:rFonts w:asciiTheme="minorEastAsia" w:hAnsiTheme="minorEastAsia"/>
          <w:b/>
          <w:sz w:val="24"/>
        </w:rPr>
        <w:t>.3</w:t>
      </w:r>
      <w:r>
        <w:rPr>
          <w:rFonts w:hint="eastAsia" w:asciiTheme="minorEastAsia" w:hAnsiTheme="minorEastAsia"/>
          <w:b/>
          <w:sz w:val="24"/>
        </w:rPr>
        <w:t>与国联研究院接触及保密要求</w:t>
      </w:r>
    </w:p>
    <w:p w14:paraId="23990FED">
      <w:pPr>
        <w:tabs>
          <w:tab w:val="left" w:pos="588"/>
        </w:tabs>
        <w:spacing w:line="360" w:lineRule="auto"/>
        <w:rPr>
          <w:rFonts w:hint="eastAsia" w:asciiTheme="minorEastAsia" w:hAnsiTheme="minorEastAsia"/>
          <w:sz w:val="24"/>
        </w:rPr>
      </w:pPr>
      <w:r>
        <w:rPr>
          <w:rFonts w:asciiTheme="minorEastAsia" w:hAnsiTheme="minorEastAsia"/>
          <w:bCs/>
          <w:sz w:val="24"/>
        </w:rPr>
        <w:t>2.</w:t>
      </w:r>
      <w:r>
        <w:rPr>
          <w:rFonts w:hint="eastAsia" w:asciiTheme="minorEastAsia" w:hAnsiTheme="minorEastAsia"/>
          <w:bCs/>
          <w:sz w:val="24"/>
        </w:rPr>
        <w:t>5</w:t>
      </w:r>
      <w:r>
        <w:rPr>
          <w:rFonts w:asciiTheme="minorEastAsia" w:hAnsiTheme="minorEastAsia"/>
          <w:bCs/>
          <w:sz w:val="24"/>
        </w:rPr>
        <w:t xml:space="preserve">.3.1 </w:t>
      </w:r>
      <w:r>
        <w:rPr>
          <w:rFonts w:hint="eastAsia" w:asciiTheme="minorEastAsia" w:hAnsiTheme="minorEastAsia"/>
          <w:sz w:val="24"/>
        </w:rPr>
        <w:t>除第</w:t>
      </w:r>
      <w:r>
        <w:rPr>
          <w:rFonts w:asciiTheme="minorEastAsia" w:hAnsiTheme="minorEastAsia"/>
          <w:bCs/>
          <w:sz w:val="24"/>
        </w:rPr>
        <w:t>2.</w:t>
      </w:r>
      <w:r>
        <w:rPr>
          <w:rFonts w:hint="eastAsia" w:asciiTheme="minorEastAsia" w:hAnsiTheme="minorEastAsia"/>
          <w:bCs/>
          <w:sz w:val="24"/>
        </w:rPr>
        <w:t>5</w:t>
      </w:r>
      <w:r>
        <w:rPr>
          <w:rFonts w:asciiTheme="minorEastAsia" w:hAnsiTheme="minorEastAsia"/>
          <w:bCs/>
          <w:sz w:val="24"/>
        </w:rPr>
        <w:t>.2</w:t>
      </w:r>
      <w:r>
        <w:rPr>
          <w:rFonts w:hint="eastAsia" w:asciiTheme="minorEastAsia" w:hAnsiTheme="minorEastAsia"/>
          <w:sz w:val="24"/>
        </w:rPr>
        <w:t>款的规定外，从递交投标文件之日起至授予中标通知书期间，投标人不得就与其投标文件有关的事项与国联研究院或评审委员会成员联系。</w:t>
      </w:r>
    </w:p>
    <w:p w14:paraId="4204CE50">
      <w:pPr>
        <w:tabs>
          <w:tab w:val="left" w:pos="588"/>
        </w:tabs>
        <w:spacing w:line="360" w:lineRule="auto"/>
        <w:rPr>
          <w:rFonts w:hint="eastAsia" w:asciiTheme="minorEastAsia" w:hAnsiTheme="minorEastAsia"/>
          <w:sz w:val="24"/>
        </w:rPr>
      </w:pPr>
      <w:r>
        <w:rPr>
          <w:rFonts w:asciiTheme="minorEastAsia" w:hAnsiTheme="minorEastAsia"/>
          <w:bCs/>
          <w:sz w:val="24"/>
        </w:rPr>
        <w:t>2.</w:t>
      </w:r>
      <w:r>
        <w:rPr>
          <w:rFonts w:hint="eastAsia" w:asciiTheme="minorEastAsia" w:hAnsiTheme="minorEastAsia"/>
          <w:bCs/>
          <w:sz w:val="24"/>
        </w:rPr>
        <w:t>5</w:t>
      </w:r>
      <w:r>
        <w:rPr>
          <w:rFonts w:asciiTheme="minorEastAsia" w:hAnsiTheme="minorEastAsia"/>
          <w:bCs/>
          <w:sz w:val="24"/>
        </w:rPr>
        <w:t xml:space="preserve">.3.2 </w:t>
      </w:r>
      <w:r>
        <w:rPr>
          <w:rFonts w:hint="eastAsia" w:asciiTheme="minorEastAsia" w:hAnsiTheme="minorEastAsia"/>
          <w:sz w:val="24"/>
        </w:rPr>
        <w:t>从递交投标文件起至授予中标通知书之日止，评审委员会成员不得将与投标文件的审查、澄清、评价、比较及推荐授予中标意向等有关的一切情况透露给投标人或与上述评审程序无关的人员。</w:t>
      </w:r>
    </w:p>
    <w:p w14:paraId="4D6BBD63">
      <w:pPr>
        <w:tabs>
          <w:tab w:val="left" w:pos="588"/>
        </w:tabs>
        <w:spacing w:line="360" w:lineRule="auto"/>
        <w:rPr>
          <w:rFonts w:hint="eastAsia" w:asciiTheme="minorEastAsia" w:hAnsiTheme="minorEastAsia"/>
          <w:sz w:val="24"/>
        </w:rPr>
      </w:pPr>
      <w:r>
        <w:rPr>
          <w:rFonts w:asciiTheme="minorEastAsia" w:hAnsiTheme="minorEastAsia"/>
          <w:bCs/>
          <w:sz w:val="24"/>
        </w:rPr>
        <w:t>2.</w:t>
      </w:r>
      <w:r>
        <w:rPr>
          <w:rFonts w:hint="eastAsia" w:asciiTheme="minorEastAsia" w:hAnsiTheme="minorEastAsia"/>
          <w:bCs/>
          <w:sz w:val="24"/>
        </w:rPr>
        <w:t>5</w:t>
      </w:r>
      <w:r>
        <w:rPr>
          <w:rFonts w:asciiTheme="minorEastAsia" w:hAnsiTheme="minorEastAsia"/>
          <w:bCs/>
          <w:sz w:val="24"/>
        </w:rPr>
        <w:t xml:space="preserve">.3.3 </w:t>
      </w:r>
      <w:r>
        <w:rPr>
          <w:rFonts w:hint="eastAsia" w:asciiTheme="minorEastAsia" w:hAnsiTheme="minorEastAsia"/>
          <w:bCs/>
          <w:sz w:val="24"/>
        </w:rPr>
        <w:t>投标人不得影响国联研究院的评审或者授予中标的决定，任何试图影响公平公正投标的行为均将导致投标人的投标文件被排除投标，以及该投标人被列入国联研究院黑名单的不利后果。</w:t>
      </w:r>
    </w:p>
    <w:p w14:paraId="394D4F24">
      <w:pPr>
        <w:spacing w:line="360" w:lineRule="auto"/>
        <w:jc w:val="left"/>
        <w:rPr>
          <w:rFonts w:hint="eastAsia" w:asciiTheme="minorEastAsia" w:hAnsiTheme="minorEastAsia"/>
          <w:b/>
          <w:sz w:val="28"/>
          <w:szCs w:val="28"/>
        </w:rPr>
      </w:pPr>
      <w:bookmarkStart w:id="60" w:name="_Toc389642114"/>
      <w:r>
        <w:rPr>
          <w:rFonts w:asciiTheme="minorEastAsia" w:hAnsiTheme="minorEastAsia"/>
          <w:b/>
          <w:sz w:val="28"/>
          <w:szCs w:val="28"/>
        </w:rPr>
        <w:t>2.</w:t>
      </w:r>
      <w:r>
        <w:rPr>
          <w:rFonts w:hint="eastAsia" w:asciiTheme="minorEastAsia" w:hAnsiTheme="minorEastAsia"/>
          <w:b/>
          <w:sz w:val="28"/>
          <w:szCs w:val="28"/>
        </w:rPr>
        <w:t xml:space="preserve">6 </w:t>
      </w:r>
      <w:r>
        <w:rPr>
          <w:rFonts w:asciiTheme="minorEastAsia" w:hAnsiTheme="minorEastAsia"/>
          <w:b/>
          <w:sz w:val="28"/>
          <w:szCs w:val="28"/>
        </w:rPr>
        <w:t>中标</w:t>
      </w:r>
      <w:bookmarkEnd w:id="60"/>
    </w:p>
    <w:p w14:paraId="65E1D930">
      <w:pPr>
        <w:pStyle w:val="110"/>
        <w:spacing w:after="0" w:line="360" w:lineRule="auto"/>
        <w:outlineLvl w:val="0"/>
        <w:rPr>
          <w:rFonts w:hint="eastAsia" w:cs="宋体" w:asciiTheme="minorEastAsia" w:hAnsiTheme="minorEastAsia"/>
          <w:b/>
          <w:color w:val="auto"/>
        </w:rPr>
      </w:pPr>
      <w:bookmarkStart w:id="61" w:name="_Toc389723663"/>
      <w:bookmarkStart w:id="62" w:name="_Toc389679610"/>
      <w:bookmarkStart w:id="63" w:name="_Toc389642984"/>
      <w:bookmarkStart w:id="64" w:name="_Toc427665299"/>
      <w:bookmarkStart w:id="65" w:name="_Toc389642115"/>
      <w:r>
        <w:rPr>
          <w:rFonts w:asciiTheme="minorEastAsia" w:hAnsiTheme="minorEastAsia"/>
          <w:b/>
          <w:bCs/>
          <w:color w:val="auto"/>
        </w:rPr>
        <w:t>2.</w:t>
      </w:r>
      <w:r>
        <w:rPr>
          <w:rFonts w:hint="eastAsia" w:asciiTheme="minorEastAsia" w:hAnsiTheme="minorEastAsia"/>
          <w:b/>
          <w:bCs/>
          <w:color w:val="auto"/>
        </w:rPr>
        <w:t>6</w:t>
      </w:r>
      <w:r>
        <w:rPr>
          <w:rFonts w:asciiTheme="minorEastAsia" w:hAnsiTheme="minorEastAsia"/>
          <w:b/>
          <w:bCs/>
          <w:color w:val="auto"/>
        </w:rPr>
        <w:t>.1</w:t>
      </w:r>
      <w:r>
        <w:rPr>
          <w:rFonts w:hint="eastAsia" w:cs="宋体" w:asciiTheme="minorEastAsia" w:hAnsiTheme="minorEastAsia"/>
          <w:b/>
          <w:color w:val="auto"/>
        </w:rPr>
        <w:t>中标条件</w:t>
      </w:r>
      <w:bookmarkEnd w:id="61"/>
      <w:bookmarkEnd w:id="62"/>
      <w:bookmarkEnd w:id="63"/>
      <w:bookmarkEnd w:id="64"/>
      <w:bookmarkEnd w:id="65"/>
    </w:p>
    <w:p w14:paraId="245600B9">
      <w:pPr>
        <w:pStyle w:val="110"/>
        <w:spacing w:after="0" w:line="360" w:lineRule="auto"/>
        <w:rPr>
          <w:rFonts w:hint="eastAsia" w:cs="宋体" w:asciiTheme="minorEastAsia" w:hAnsiTheme="minorEastAsia"/>
          <w:color w:val="auto"/>
        </w:rPr>
      </w:pPr>
      <w:r>
        <w:rPr>
          <w:rFonts w:asciiTheme="minorEastAsia" w:hAnsiTheme="minorEastAsia"/>
          <w:bCs/>
          <w:color w:val="auto"/>
        </w:rPr>
        <w:t>2.</w:t>
      </w:r>
      <w:r>
        <w:rPr>
          <w:rFonts w:hint="eastAsia" w:asciiTheme="minorEastAsia" w:hAnsiTheme="minorEastAsia"/>
          <w:bCs/>
          <w:color w:val="auto"/>
        </w:rPr>
        <w:t>6</w:t>
      </w:r>
      <w:r>
        <w:rPr>
          <w:rFonts w:asciiTheme="minorEastAsia" w:hAnsiTheme="minorEastAsia"/>
          <w:bCs/>
          <w:color w:val="auto"/>
        </w:rPr>
        <w:t xml:space="preserve">.1.1 </w:t>
      </w:r>
      <w:r>
        <w:rPr>
          <w:rFonts w:hint="eastAsia" w:cs="宋体" w:asciiTheme="minorEastAsia" w:hAnsiTheme="minorEastAsia"/>
          <w:color w:val="auto"/>
        </w:rPr>
        <w:t>评审委员会将按评审结果推荐中标候选人。国联研究院采购管理委员会确定最终中标人。</w:t>
      </w:r>
    </w:p>
    <w:p w14:paraId="12667D78">
      <w:pPr>
        <w:pStyle w:val="110"/>
        <w:spacing w:after="0" w:line="360" w:lineRule="auto"/>
        <w:rPr>
          <w:rFonts w:hint="eastAsia" w:cs="宋体" w:asciiTheme="minorEastAsia" w:hAnsiTheme="minorEastAsia"/>
          <w:color w:val="auto"/>
        </w:rPr>
      </w:pPr>
      <w:r>
        <w:rPr>
          <w:rFonts w:asciiTheme="minorEastAsia" w:hAnsiTheme="minorEastAsia"/>
          <w:bCs/>
          <w:color w:val="auto"/>
        </w:rPr>
        <w:t>2.</w:t>
      </w:r>
      <w:r>
        <w:rPr>
          <w:rFonts w:hint="eastAsia" w:asciiTheme="minorEastAsia" w:hAnsiTheme="minorEastAsia"/>
          <w:bCs/>
          <w:color w:val="auto"/>
        </w:rPr>
        <w:t>6</w:t>
      </w:r>
      <w:r>
        <w:rPr>
          <w:rFonts w:asciiTheme="minorEastAsia" w:hAnsiTheme="minorEastAsia"/>
          <w:bCs/>
          <w:color w:val="auto"/>
        </w:rPr>
        <w:t>.1.2</w:t>
      </w:r>
      <w:r>
        <w:rPr>
          <w:rFonts w:hint="eastAsia" w:cs="宋体" w:asciiTheme="minorEastAsia" w:hAnsiTheme="minorEastAsia"/>
          <w:color w:val="auto"/>
        </w:rPr>
        <w:t>国联研究院保留在授予中标之前任何时候接受或拒绝任何申请，以及宣布内部议标程序终止或拒绝所有申请的权利，且对相关投标人不承担任何责任。</w:t>
      </w:r>
    </w:p>
    <w:p w14:paraId="00E82A48">
      <w:pPr>
        <w:pStyle w:val="110"/>
        <w:spacing w:after="0" w:line="360" w:lineRule="auto"/>
        <w:rPr>
          <w:rFonts w:hint="eastAsia" w:cs="宋体" w:asciiTheme="minorEastAsia" w:hAnsiTheme="minorEastAsia"/>
          <w:color w:val="auto"/>
        </w:rPr>
      </w:pPr>
      <w:r>
        <w:rPr>
          <w:rFonts w:hint="eastAsia" w:cs="宋体" w:asciiTheme="minorEastAsia" w:hAnsiTheme="minorEastAsia"/>
          <w:color w:val="auto"/>
        </w:rPr>
        <w:t>2.6.1.3 国联研究院将对评审委员会推荐的排名第一的中标候选人进行合规审查，如在审查中发现该候选人存在重大合规风险，包括但不限于存在或曾经参与行贿、舞弊、洗钱、串通投标等不诚信行为，或存在影响其履约能力的仲裁诉讼或被强制执行情况，或曾因违法违规行为受到行政处罚或刑事处罚等，国联研究院有权选择：（1）要求其就相关情况进行说明并以提供履约担保等形式，保证国联研究院的利益不会因合规风险事项受损；（2）拒绝与该中标候选人签订合同，按照评审委员会提出的中标候选人名单排序依次确定其他中标候选人为中标人；（3）重新议标。</w:t>
      </w:r>
    </w:p>
    <w:p w14:paraId="65AABCC8">
      <w:pPr>
        <w:pStyle w:val="110"/>
        <w:spacing w:after="0" w:line="360" w:lineRule="auto"/>
        <w:rPr>
          <w:rFonts w:hint="eastAsia" w:cs="宋体" w:asciiTheme="minorEastAsia" w:hAnsiTheme="minorEastAsia"/>
          <w:color w:val="auto"/>
        </w:rPr>
      </w:pPr>
      <w:r>
        <w:rPr>
          <w:rFonts w:cs="宋体" w:asciiTheme="minorEastAsia" w:hAnsiTheme="minorEastAsia"/>
          <w:color w:val="auto"/>
        </w:rPr>
        <w:t>2.</w:t>
      </w:r>
      <w:r>
        <w:rPr>
          <w:rFonts w:hint="eastAsia" w:cs="宋体" w:asciiTheme="minorEastAsia" w:hAnsiTheme="minorEastAsia"/>
          <w:color w:val="auto"/>
        </w:rPr>
        <w:t>6</w:t>
      </w:r>
      <w:r>
        <w:rPr>
          <w:rFonts w:cs="宋体" w:asciiTheme="minorEastAsia" w:hAnsiTheme="minorEastAsia"/>
          <w:color w:val="auto"/>
        </w:rPr>
        <w:t>.1.</w:t>
      </w:r>
      <w:r>
        <w:rPr>
          <w:rFonts w:hint="eastAsia" w:cs="宋体" w:asciiTheme="minorEastAsia" w:hAnsiTheme="minorEastAsia"/>
          <w:color w:val="auto"/>
        </w:rPr>
        <w:t>4投标人接受国联研究院授予中标候选人资格视为投标人有能力满足本次议标的全部要求。投标人的中标不视为国联研究院认可投标文件的设计缺陷或任何遗漏，且投标人不得要求国联研究院因此增加费用。</w:t>
      </w:r>
    </w:p>
    <w:p w14:paraId="62194070">
      <w:pPr>
        <w:pStyle w:val="110"/>
        <w:spacing w:after="0" w:line="360" w:lineRule="auto"/>
        <w:outlineLvl w:val="0"/>
        <w:rPr>
          <w:rFonts w:hint="eastAsia" w:cs="宋体" w:asciiTheme="minorEastAsia" w:hAnsiTheme="minorEastAsia"/>
          <w:b/>
          <w:color w:val="auto"/>
        </w:rPr>
      </w:pPr>
      <w:bookmarkStart w:id="66" w:name="_Toc389642985"/>
      <w:bookmarkStart w:id="67" w:name="_Toc389642116"/>
      <w:bookmarkStart w:id="68" w:name="_Toc389679611"/>
      <w:bookmarkStart w:id="69" w:name="_Toc389723664"/>
      <w:bookmarkStart w:id="70" w:name="_Toc427665300"/>
      <w:r>
        <w:rPr>
          <w:rFonts w:asciiTheme="minorEastAsia" w:hAnsiTheme="minorEastAsia"/>
          <w:b/>
          <w:bCs/>
          <w:color w:val="auto"/>
        </w:rPr>
        <w:t>2.</w:t>
      </w:r>
      <w:r>
        <w:rPr>
          <w:rFonts w:hint="eastAsia" w:asciiTheme="minorEastAsia" w:hAnsiTheme="minorEastAsia"/>
          <w:b/>
          <w:bCs/>
          <w:color w:val="auto"/>
        </w:rPr>
        <w:t>6</w:t>
      </w:r>
      <w:r>
        <w:rPr>
          <w:rFonts w:asciiTheme="minorEastAsia" w:hAnsiTheme="minorEastAsia"/>
          <w:b/>
          <w:bCs/>
          <w:color w:val="auto"/>
        </w:rPr>
        <w:t>.2</w:t>
      </w:r>
      <w:r>
        <w:rPr>
          <w:rFonts w:hint="eastAsia" w:cs="宋体" w:asciiTheme="minorEastAsia" w:hAnsiTheme="minorEastAsia"/>
          <w:b/>
          <w:color w:val="auto"/>
        </w:rPr>
        <w:t>中标通知书</w:t>
      </w:r>
      <w:bookmarkEnd w:id="66"/>
      <w:bookmarkEnd w:id="67"/>
      <w:bookmarkEnd w:id="68"/>
      <w:bookmarkEnd w:id="69"/>
      <w:bookmarkEnd w:id="70"/>
    </w:p>
    <w:p w14:paraId="7DC9F0AF">
      <w:pPr>
        <w:pStyle w:val="110"/>
        <w:spacing w:after="0" w:line="360" w:lineRule="auto"/>
        <w:rPr>
          <w:rFonts w:hint="eastAsia" w:asciiTheme="minorEastAsia" w:hAnsiTheme="minorEastAsia"/>
          <w:bCs/>
          <w:color w:val="auto"/>
        </w:rPr>
      </w:pPr>
      <w:r>
        <w:rPr>
          <w:rFonts w:asciiTheme="minorEastAsia" w:hAnsiTheme="minorEastAsia"/>
          <w:bCs/>
          <w:color w:val="auto"/>
        </w:rPr>
        <w:t>2.</w:t>
      </w:r>
      <w:r>
        <w:rPr>
          <w:rFonts w:hint="eastAsia" w:asciiTheme="minorEastAsia" w:hAnsiTheme="minorEastAsia"/>
          <w:bCs/>
          <w:color w:val="auto"/>
        </w:rPr>
        <w:t>6</w:t>
      </w:r>
      <w:r>
        <w:rPr>
          <w:rFonts w:asciiTheme="minorEastAsia" w:hAnsiTheme="minorEastAsia"/>
          <w:bCs/>
          <w:color w:val="auto"/>
        </w:rPr>
        <w:t>.2.1</w:t>
      </w:r>
      <w:r>
        <w:rPr>
          <w:rFonts w:hint="eastAsia" w:asciiTheme="minorEastAsia" w:hAnsiTheme="minorEastAsia"/>
          <w:bCs/>
          <w:color w:val="auto"/>
        </w:rPr>
        <w:t>国联研究院将中标通知书发送给中标人。中标人应在收到中标通知书后</w:t>
      </w:r>
      <w:r>
        <w:rPr>
          <w:rFonts w:asciiTheme="minorEastAsia" w:hAnsiTheme="minorEastAsia"/>
          <w:bCs/>
          <w:color w:val="auto"/>
        </w:rPr>
        <w:t>2个工作日内以邮件形式书面（加盖公章）回执确认，5个工作日内以书面形式原</w:t>
      </w:r>
      <w:r>
        <w:rPr>
          <w:rFonts w:hint="eastAsia" w:asciiTheme="minorEastAsia" w:hAnsiTheme="minorEastAsia"/>
          <w:bCs/>
          <w:color w:val="auto"/>
        </w:rPr>
        <w:t>件（加盖公章）回执确认。</w:t>
      </w:r>
    </w:p>
    <w:p w14:paraId="47236E46">
      <w:pPr>
        <w:pStyle w:val="110"/>
        <w:spacing w:after="0" w:line="360" w:lineRule="auto"/>
        <w:rPr>
          <w:rFonts w:hint="eastAsia" w:asciiTheme="minorEastAsia" w:hAnsiTheme="minorEastAsia"/>
          <w:bCs/>
          <w:color w:val="auto"/>
        </w:rPr>
      </w:pPr>
      <w:r>
        <w:rPr>
          <w:rFonts w:asciiTheme="minorEastAsia" w:hAnsiTheme="minorEastAsia"/>
          <w:bCs/>
          <w:color w:val="auto"/>
        </w:rPr>
        <w:t>2.</w:t>
      </w:r>
      <w:r>
        <w:rPr>
          <w:rFonts w:hint="eastAsia" w:asciiTheme="minorEastAsia" w:hAnsiTheme="minorEastAsia"/>
          <w:bCs/>
          <w:color w:val="auto"/>
        </w:rPr>
        <w:t>6</w:t>
      </w:r>
      <w:r>
        <w:rPr>
          <w:rFonts w:asciiTheme="minorEastAsia" w:hAnsiTheme="minorEastAsia"/>
          <w:bCs/>
          <w:color w:val="auto"/>
        </w:rPr>
        <w:t>.2.2</w:t>
      </w:r>
      <w:r>
        <w:rPr>
          <w:rFonts w:hint="eastAsia" w:asciiTheme="minorEastAsia" w:hAnsiTheme="minorEastAsia"/>
          <w:bCs/>
          <w:color w:val="auto"/>
        </w:rPr>
        <w:t>中标</w:t>
      </w:r>
      <w:r>
        <w:rPr>
          <w:rFonts w:asciiTheme="minorEastAsia" w:hAnsiTheme="minorEastAsia"/>
          <w:bCs/>
          <w:color w:val="auto"/>
        </w:rPr>
        <w:t>人应当自中标通知书发出之日起三十日内，按照</w:t>
      </w:r>
      <w:r>
        <w:rPr>
          <w:rFonts w:hint="eastAsia" w:asciiTheme="minorEastAsia" w:hAnsiTheme="minorEastAsia"/>
          <w:bCs/>
          <w:color w:val="auto"/>
        </w:rPr>
        <w:t>议标文件</w:t>
      </w:r>
      <w:r>
        <w:rPr>
          <w:rFonts w:asciiTheme="minorEastAsia" w:hAnsiTheme="minorEastAsia"/>
          <w:bCs/>
          <w:color w:val="auto"/>
        </w:rPr>
        <w:t>和中标人的</w:t>
      </w:r>
      <w:r>
        <w:rPr>
          <w:rFonts w:hint="eastAsia" w:asciiTheme="minorEastAsia" w:hAnsiTheme="minorEastAsia"/>
          <w:bCs/>
          <w:color w:val="auto"/>
        </w:rPr>
        <w:t>投标文件与采购方</w:t>
      </w:r>
      <w:r>
        <w:rPr>
          <w:rFonts w:asciiTheme="minorEastAsia" w:hAnsiTheme="minorEastAsia"/>
          <w:bCs/>
          <w:color w:val="auto"/>
        </w:rPr>
        <w:t>订立书面合同。</w:t>
      </w:r>
      <w:r>
        <w:rPr>
          <w:rFonts w:hint="eastAsia" w:asciiTheme="minorEastAsia" w:hAnsiTheme="minorEastAsia"/>
          <w:bCs/>
          <w:color w:val="auto"/>
        </w:rPr>
        <w:t>如果投标人未经过国联研究院书面同意而拒绝订立书面合同，或者在签订合同时向国联研究院提出附加条件，或者不按照内部议标文件或投标文件订立书面合同，国联研究院有权取消投标人中标资格，并要求投标人支付投标项目总金额</w:t>
      </w:r>
      <w:r>
        <w:rPr>
          <w:rFonts w:asciiTheme="minorEastAsia" w:hAnsiTheme="minorEastAsia"/>
          <w:bCs/>
          <w:color w:val="auto"/>
        </w:rPr>
        <w:t>10%的违约金。</w:t>
      </w:r>
    </w:p>
    <w:p w14:paraId="354A4148">
      <w:pPr>
        <w:pStyle w:val="110"/>
        <w:spacing w:after="0" w:line="360" w:lineRule="auto"/>
        <w:rPr>
          <w:rFonts w:hint="eastAsia" w:asciiTheme="minorEastAsia" w:hAnsiTheme="minorEastAsia"/>
          <w:bCs/>
          <w:color w:val="auto"/>
        </w:rPr>
      </w:pPr>
      <w:r>
        <w:rPr>
          <w:rFonts w:asciiTheme="minorEastAsia" w:hAnsiTheme="minorEastAsia"/>
          <w:bCs/>
          <w:color w:val="auto"/>
        </w:rPr>
        <w:t>2.</w:t>
      </w:r>
      <w:r>
        <w:rPr>
          <w:rFonts w:hint="eastAsia" w:asciiTheme="minorEastAsia" w:hAnsiTheme="minorEastAsia"/>
          <w:bCs/>
          <w:color w:val="auto"/>
        </w:rPr>
        <w:t>6</w:t>
      </w:r>
      <w:r>
        <w:rPr>
          <w:rFonts w:asciiTheme="minorEastAsia" w:hAnsiTheme="minorEastAsia"/>
          <w:bCs/>
          <w:color w:val="auto"/>
        </w:rPr>
        <w:t>.2.3如果</w:t>
      </w:r>
      <w:r>
        <w:rPr>
          <w:rFonts w:hint="eastAsia" w:asciiTheme="minorEastAsia" w:hAnsiTheme="minorEastAsia"/>
          <w:bCs/>
          <w:color w:val="auto"/>
        </w:rPr>
        <w:t>排名第一的中标候选人放弃中标、因不可抗力不能履行合同、拒绝签订书面合同，或者被查实存在影响中标结果的违法行为等情形，不符合中标条件的，国联研究院</w:t>
      </w:r>
      <w:r>
        <w:rPr>
          <w:rFonts w:asciiTheme="minorEastAsia" w:hAnsiTheme="minorEastAsia"/>
          <w:bCs/>
          <w:color w:val="auto"/>
        </w:rPr>
        <w:t>有权</w:t>
      </w:r>
      <w:r>
        <w:rPr>
          <w:rFonts w:hint="eastAsia" w:cs="宋体" w:asciiTheme="minorEastAsia" w:hAnsiTheme="minorEastAsia"/>
          <w:color w:val="auto"/>
        </w:rPr>
        <w:t>按照评审委员会提出的中标候选人名单排序依次确定其他中标候选人为中标人</w:t>
      </w:r>
      <w:r>
        <w:rPr>
          <w:rFonts w:asciiTheme="minorEastAsia" w:hAnsiTheme="minorEastAsia"/>
          <w:bCs/>
          <w:color w:val="auto"/>
        </w:rPr>
        <w:t>或重新内部</w:t>
      </w:r>
      <w:r>
        <w:rPr>
          <w:rFonts w:hint="eastAsia" w:asciiTheme="minorEastAsia" w:hAnsiTheme="minorEastAsia"/>
          <w:bCs/>
          <w:color w:val="auto"/>
        </w:rPr>
        <w:t>议标</w:t>
      </w:r>
      <w:r>
        <w:rPr>
          <w:rFonts w:asciiTheme="minorEastAsia" w:hAnsiTheme="minorEastAsia"/>
          <w:bCs/>
          <w:color w:val="auto"/>
        </w:rPr>
        <w:t>。</w:t>
      </w:r>
    </w:p>
    <w:p w14:paraId="7CB7366D">
      <w:pPr>
        <w:pStyle w:val="110"/>
        <w:spacing w:after="0" w:line="360" w:lineRule="auto"/>
        <w:outlineLvl w:val="0"/>
        <w:rPr>
          <w:rFonts w:hint="eastAsia" w:asciiTheme="minorEastAsia" w:hAnsiTheme="minorEastAsia"/>
          <w:b/>
          <w:bCs/>
          <w:color w:val="auto"/>
        </w:rPr>
      </w:pPr>
      <w:bookmarkStart w:id="71" w:name="_Toc389642117"/>
      <w:bookmarkStart w:id="72" w:name="_Toc389723665"/>
      <w:bookmarkStart w:id="73" w:name="_Toc389679612"/>
      <w:bookmarkStart w:id="74" w:name="_Toc389642986"/>
      <w:bookmarkStart w:id="75" w:name="_Toc427665301"/>
      <w:r>
        <w:rPr>
          <w:rFonts w:asciiTheme="minorEastAsia" w:hAnsiTheme="minorEastAsia"/>
          <w:b/>
          <w:bCs/>
          <w:color w:val="auto"/>
        </w:rPr>
        <w:t>2.</w:t>
      </w:r>
      <w:r>
        <w:rPr>
          <w:rFonts w:hint="eastAsia" w:asciiTheme="minorEastAsia" w:hAnsiTheme="minorEastAsia"/>
          <w:b/>
          <w:bCs/>
          <w:color w:val="auto"/>
        </w:rPr>
        <w:t>6</w:t>
      </w:r>
      <w:r>
        <w:rPr>
          <w:rFonts w:asciiTheme="minorEastAsia" w:hAnsiTheme="minorEastAsia"/>
          <w:b/>
          <w:bCs/>
          <w:color w:val="auto"/>
        </w:rPr>
        <w:t>.3中标人义务</w:t>
      </w:r>
      <w:bookmarkEnd w:id="71"/>
      <w:bookmarkEnd w:id="72"/>
      <w:bookmarkEnd w:id="73"/>
      <w:bookmarkEnd w:id="74"/>
      <w:bookmarkEnd w:id="75"/>
    </w:p>
    <w:p w14:paraId="1BAFFA8C">
      <w:pPr>
        <w:pStyle w:val="110"/>
        <w:spacing w:after="0" w:line="360" w:lineRule="auto"/>
        <w:ind w:firstLine="480" w:firstLineChars="200"/>
        <w:outlineLvl w:val="0"/>
        <w:rPr>
          <w:rFonts w:hint="eastAsia" w:cs="宋体" w:asciiTheme="minorEastAsia" w:hAnsiTheme="minorEastAsia"/>
          <w:color w:val="auto"/>
        </w:rPr>
      </w:pPr>
      <w:bookmarkStart w:id="76" w:name="_Toc389559110"/>
      <w:bookmarkStart w:id="77" w:name="_Toc389572269"/>
      <w:bookmarkStart w:id="78" w:name="_Toc427665302"/>
      <w:bookmarkStart w:id="79" w:name="_Toc389559266"/>
      <w:bookmarkStart w:id="80" w:name="_Toc389642118"/>
      <w:bookmarkStart w:id="81" w:name="_Toc389723666"/>
      <w:bookmarkStart w:id="82" w:name="_Toc389559441"/>
      <w:bookmarkStart w:id="83" w:name="_Toc389679613"/>
      <w:bookmarkStart w:id="84" w:name="_Toc389642987"/>
      <w:bookmarkStart w:id="85" w:name="_Toc389559211"/>
      <w:r>
        <w:rPr>
          <w:rFonts w:cs="宋体" w:asciiTheme="minorEastAsia" w:hAnsiTheme="minorEastAsia"/>
          <w:color w:val="auto"/>
        </w:rPr>
        <w:t>中标人不得向他人转让</w:t>
      </w:r>
      <w:r>
        <w:rPr>
          <w:rFonts w:hint="eastAsia" w:cs="宋体" w:asciiTheme="minorEastAsia" w:hAnsiTheme="minorEastAsia"/>
          <w:color w:val="auto"/>
        </w:rPr>
        <w:t>本</w:t>
      </w:r>
      <w:r>
        <w:rPr>
          <w:rFonts w:cs="宋体" w:asciiTheme="minorEastAsia" w:hAnsiTheme="minorEastAsia"/>
          <w:color w:val="auto"/>
        </w:rPr>
        <w:t>项目，也不得将</w:t>
      </w:r>
      <w:r>
        <w:rPr>
          <w:rFonts w:hint="eastAsia" w:cs="宋体" w:asciiTheme="minorEastAsia" w:hAnsiTheme="minorEastAsia"/>
          <w:color w:val="auto"/>
        </w:rPr>
        <w:t>本项</w:t>
      </w:r>
      <w:r>
        <w:rPr>
          <w:rFonts w:cs="宋体" w:asciiTheme="minorEastAsia" w:hAnsiTheme="minorEastAsia"/>
          <w:color w:val="auto"/>
        </w:rPr>
        <w:t>目</w:t>
      </w:r>
      <w:r>
        <w:rPr>
          <w:rFonts w:hint="eastAsia" w:cs="宋体" w:asciiTheme="minorEastAsia" w:hAnsiTheme="minorEastAsia"/>
          <w:color w:val="auto"/>
        </w:rPr>
        <w:t>肢</w:t>
      </w:r>
      <w:r>
        <w:rPr>
          <w:rFonts w:cs="宋体" w:asciiTheme="minorEastAsia" w:hAnsiTheme="minorEastAsia"/>
          <w:color w:val="auto"/>
        </w:rPr>
        <w:t>解后分别向他人转让。</w:t>
      </w:r>
      <w:bookmarkEnd w:id="76"/>
      <w:bookmarkEnd w:id="77"/>
      <w:bookmarkEnd w:id="78"/>
      <w:bookmarkEnd w:id="79"/>
      <w:bookmarkEnd w:id="80"/>
      <w:bookmarkEnd w:id="81"/>
      <w:bookmarkEnd w:id="82"/>
      <w:bookmarkEnd w:id="83"/>
      <w:bookmarkEnd w:id="84"/>
      <w:bookmarkEnd w:id="85"/>
    </w:p>
    <w:p w14:paraId="492B8594">
      <w:pPr>
        <w:pStyle w:val="110"/>
        <w:spacing w:after="0" w:line="360" w:lineRule="auto"/>
        <w:ind w:firstLine="480" w:firstLineChars="200"/>
        <w:outlineLvl w:val="0"/>
        <w:rPr>
          <w:rFonts w:hint="eastAsia" w:asciiTheme="minorEastAsia" w:hAnsiTheme="minorEastAsia"/>
        </w:rPr>
      </w:pPr>
      <w:bookmarkStart w:id="86" w:name="_Toc389559111"/>
      <w:bookmarkStart w:id="87" w:name="_Toc389559212"/>
      <w:bookmarkStart w:id="88" w:name="_Toc389559267"/>
      <w:bookmarkStart w:id="89" w:name="_Toc389723667"/>
      <w:bookmarkStart w:id="90" w:name="_Toc389559442"/>
      <w:bookmarkStart w:id="91" w:name="_Toc389642119"/>
      <w:bookmarkStart w:id="92" w:name="_Toc427665303"/>
      <w:bookmarkStart w:id="93" w:name="_Toc389572270"/>
      <w:bookmarkStart w:id="94" w:name="_Toc389642988"/>
      <w:bookmarkStart w:id="95" w:name="_Toc389679614"/>
      <w:r>
        <w:rPr>
          <w:rFonts w:cs="宋体" w:asciiTheme="minorEastAsia" w:hAnsiTheme="minorEastAsia"/>
          <w:color w:val="auto"/>
        </w:rPr>
        <w:t>中标人经</w:t>
      </w:r>
      <w:r>
        <w:rPr>
          <w:rFonts w:hint="eastAsia" w:cs="宋体" w:asciiTheme="minorEastAsia" w:hAnsiTheme="minorEastAsia"/>
          <w:color w:val="auto"/>
        </w:rPr>
        <w:t>国联研究院</w:t>
      </w:r>
      <w:r>
        <w:rPr>
          <w:rFonts w:cs="宋体" w:asciiTheme="minorEastAsia" w:hAnsiTheme="minorEastAsia"/>
          <w:color w:val="auto"/>
        </w:rPr>
        <w:t>同意，可以将</w:t>
      </w:r>
      <w:r>
        <w:rPr>
          <w:rFonts w:hint="eastAsia" w:cs="宋体" w:asciiTheme="minorEastAsia" w:hAnsiTheme="minorEastAsia"/>
          <w:color w:val="auto"/>
        </w:rPr>
        <w:t>中标</w:t>
      </w:r>
      <w:r>
        <w:rPr>
          <w:rFonts w:cs="宋体" w:asciiTheme="minorEastAsia" w:hAnsiTheme="minorEastAsia"/>
          <w:color w:val="auto"/>
        </w:rPr>
        <w:t>项目的部分非主体、非关键性工作分包给他人完成。接受分包的人应当具备相应的资格条件，不得再分包。</w:t>
      </w:r>
      <w:bookmarkEnd w:id="86"/>
      <w:bookmarkEnd w:id="87"/>
      <w:bookmarkEnd w:id="88"/>
      <w:bookmarkEnd w:id="89"/>
      <w:bookmarkEnd w:id="90"/>
      <w:bookmarkEnd w:id="91"/>
      <w:bookmarkEnd w:id="92"/>
      <w:bookmarkEnd w:id="93"/>
      <w:bookmarkEnd w:id="94"/>
      <w:bookmarkEnd w:id="95"/>
      <w:bookmarkStart w:id="96" w:name="_Toc416268855"/>
      <w:bookmarkStart w:id="97" w:name="_Toc427665304"/>
      <w:bookmarkStart w:id="98" w:name="_Toc416279103"/>
    </w:p>
    <w:p w14:paraId="25B06BDD">
      <w:pPr>
        <w:pStyle w:val="3"/>
        <w:spacing w:line="360" w:lineRule="auto"/>
        <w:rPr>
          <w:rFonts w:hint="eastAsia" w:asciiTheme="minorEastAsia" w:hAnsiTheme="minorEastAsia" w:eastAsiaTheme="minorEastAsia"/>
          <w:lang w:eastAsia="zh-CN"/>
        </w:rPr>
      </w:pPr>
    </w:p>
    <w:p w14:paraId="7C26C2BE">
      <w:pPr>
        <w:pStyle w:val="3"/>
        <w:spacing w:line="360" w:lineRule="auto"/>
        <w:rPr>
          <w:rFonts w:hint="eastAsia" w:asciiTheme="minorEastAsia" w:hAnsiTheme="minorEastAsia" w:eastAsiaTheme="minorEastAsia"/>
          <w:lang w:eastAsia="zh-CN"/>
        </w:rPr>
      </w:pPr>
    </w:p>
    <w:p w14:paraId="7609DB78">
      <w:pPr>
        <w:pStyle w:val="3"/>
        <w:spacing w:line="360" w:lineRule="auto"/>
        <w:rPr>
          <w:rFonts w:hint="eastAsia" w:asciiTheme="minorEastAsia" w:hAnsiTheme="minorEastAsia" w:eastAsiaTheme="minorEastAsia"/>
          <w:lang w:eastAsia="zh-CN"/>
        </w:rPr>
      </w:pPr>
    </w:p>
    <w:p w14:paraId="733592E3">
      <w:pPr>
        <w:pStyle w:val="3"/>
        <w:spacing w:line="360" w:lineRule="auto"/>
        <w:rPr>
          <w:rFonts w:hint="eastAsia" w:asciiTheme="minorEastAsia" w:hAnsiTheme="minorEastAsia" w:eastAsiaTheme="minorEastAsia"/>
          <w:lang w:eastAsia="zh-CN"/>
        </w:rPr>
      </w:pPr>
    </w:p>
    <w:p w14:paraId="6950F7E3">
      <w:pPr>
        <w:rPr>
          <w:rFonts w:hint="eastAsia" w:asciiTheme="minorEastAsia" w:hAnsiTheme="minorEastAsia"/>
        </w:rPr>
      </w:pPr>
    </w:p>
    <w:p w14:paraId="6242AF2E">
      <w:pPr>
        <w:rPr>
          <w:rFonts w:hint="eastAsia" w:asciiTheme="minorEastAsia" w:hAnsiTheme="minorEastAsia"/>
        </w:rPr>
      </w:pPr>
    </w:p>
    <w:p w14:paraId="3347713F">
      <w:pPr>
        <w:rPr>
          <w:rFonts w:hint="eastAsia" w:asciiTheme="minorEastAsia" w:hAnsiTheme="minorEastAsia"/>
        </w:rPr>
      </w:pPr>
    </w:p>
    <w:p w14:paraId="56D04930">
      <w:pPr>
        <w:pStyle w:val="3"/>
        <w:spacing w:line="360" w:lineRule="auto"/>
        <w:rPr>
          <w:rFonts w:hint="eastAsia" w:asciiTheme="minorEastAsia" w:hAnsiTheme="minorEastAsia" w:eastAsiaTheme="minorEastAsia"/>
          <w:lang w:eastAsia="zh-CN"/>
        </w:rPr>
        <w:sectPr>
          <w:headerReference r:id="rId11" w:type="first"/>
          <w:headerReference r:id="rId9" w:type="default"/>
          <w:footerReference r:id="rId12" w:type="default"/>
          <w:headerReference r:id="rId10" w:type="even"/>
          <w:pgSz w:w="11906" w:h="16838"/>
          <w:pgMar w:top="1440" w:right="1418" w:bottom="1440" w:left="1418" w:header="851" w:footer="992" w:gutter="0"/>
          <w:cols w:space="425" w:num="1"/>
          <w:docGrid w:type="lines" w:linePitch="312" w:charSpace="0"/>
        </w:sectPr>
      </w:pPr>
    </w:p>
    <w:p w14:paraId="0F94A556">
      <w:pPr>
        <w:pStyle w:val="110"/>
        <w:spacing w:after="0" w:line="360" w:lineRule="auto"/>
        <w:outlineLvl w:val="0"/>
      </w:pPr>
      <w:r>
        <w:rPr>
          <w:rFonts w:hint="eastAsia" w:asciiTheme="minorEastAsia" w:hAnsiTheme="minorEastAsia"/>
          <w:b/>
          <w:bCs/>
          <w:color w:val="auto"/>
        </w:rPr>
        <w:t>2.7 综合评分表</w:t>
      </w:r>
    </w:p>
    <w:tbl>
      <w:tblPr>
        <w:tblStyle w:val="77"/>
        <w:tblW w:w="13580" w:type="dxa"/>
        <w:tblInd w:w="118" w:type="dxa"/>
        <w:tblLayout w:type="autofit"/>
        <w:tblCellMar>
          <w:top w:w="0" w:type="dxa"/>
          <w:left w:w="108" w:type="dxa"/>
          <w:bottom w:w="0" w:type="dxa"/>
          <w:right w:w="108" w:type="dxa"/>
        </w:tblCellMar>
      </w:tblPr>
      <w:tblGrid>
        <w:gridCol w:w="1080"/>
        <w:gridCol w:w="1080"/>
        <w:gridCol w:w="1080"/>
        <w:gridCol w:w="10340"/>
      </w:tblGrid>
      <w:tr w14:paraId="735B1B71">
        <w:tblPrEx>
          <w:tblCellMar>
            <w:top w:w="0" w:type="dxa"/>
            <w:left w:w="108" w:type="dxa"/>
            <w:bottom w:w="0" w:type="dxa"/>
            <w:right w:w="108" w:type="dxa"/>
          </w:tblCellMar>
        </w:tblPrEx>
        <w:trPr>
          <w:trHeight w:val="540" w:hRule="atLeast"/>
        </w:trPr>
        <w:tc>
          <w:tcPr>
            <w:tcW w:w="1080" w:type="dxa"/>
            <w:tcBorders>
              <w:top w:val="single" w:color="auto" w:sz="8" w:space="0"/>
              <w:left w:val="single" w:color="auto" w:sz="8" w:space="0"/>
              <w:bottom w:val="single" w:color="auto" w:sz="4" w:space="0"/>
              <w:right w:val="single" w:color="auto" w:sz="4" w:space="0"/>
            </w:tcBorders>
            <w:shd w:val="clear" w:color="000000" w:fill="BFBFBF"/>
            <w:vAlign w:val="center"/>
          </w:tcPr>
          <w:p w14:paraId="54978120">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类别</w:t>
            </w:r>
          </w:p>
        </w:tc>
        <w:tc>
          <w:tcPr>
            <w:tcW w:w="1080" w:type="dxa"/>
            <w:tcBorders>
              <w:top w:val="single" w:color="auto" w:sz="8" w:space="0"/>
              <w:left w:val="nil"/>
              <w:bottom w:val="single" w:color="auto" w:sz="4" w:space="0"/>
              <w:right w:val="single" w:color="auto" w:sz="4" w:space="0"/>
            </w:tcBorders>
            <w:shd w:val="clear" w:color="000000" w:fill="BFBFBF"/>
            <w:vAlign w:val="center"/>
          </w:tcPr>
          <w:p w14:paraId="53417AE5">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评审项目</w:t>
            </w:r>
          </w:p>
        </w:tc>
        <w:tc>
          <w:tcPr>
            <w:tcW w:w="1080" w:type="dxa"/>
            <w:tcBorders>
              <w:top w:val="single" w:color="auto" w:sz="8" w:space="0"/>
              <w:left w:val="nil"/>
              <w:bottom w:val="single" w:color="auto" w:sz="4" w:space="0"/>
              <w:right w:val="single" w:color="auto" w:sz="4" w:space="0"/>
            </w:tcBorders>
            <w:shd w:val="clear" w:color="000000" w:fill="BFBFBF"/>
            <w:vAlign w:val="center"/>
          </w:tcPr>
          <w:p w14:paraId="12148DF8">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标准分</w:t>
            </w:r>
          </w:p>
        </w:tc>
        <w:tc>
          <w:tcPr>
            <w:tcW w:w="10340" w:type="dxa"/>
            <w:tcBorders>
              <w:top w:val="single" w:color="auto" w:sz="8" w:space="0"/>
              <w:left w:val="nil"/>
              <w:bottom w:val="single" w:color="auto" w:sz="4" w:space="0"/>
              <w:right w:val="single" w:color="auto" w:sz="8" w:space="0"/>
            </w:tcBorders>
            <w:shd w:val="clear" w:color="000000" w:fill="BFBFBF"/>
            <w:vAlign w:val="center"/>
          </w:tcPr>
          <w:p w14:paraId="3997105A">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评分标准</w:t>
            </w:r>
          </w:p>
        </w:tc>
      </w:tr>
      <w:tr w14:paraId="3EA33017">
        <w:tblPrEx>
          <w:tblCellMar>
            <w:top w:w="0" w:type="dxa"/>
            <w:left w:w="108" w:type="dxa"/>
            <w:bottom w:w="0" w:type="dxa"/>
            <w:right w:w="108" w:type="dxa"/>
          </w:tblCellMar>
        </w:tblPrEx>
        <w:trPr>
          <w:trHeight w:val="480" w:hRule="atLeast"/>
        </w:trPr>
        <w:tc>
          <w:tcPr>
            <w:tcW w:w="1080" w:type="dxa"/>
            <w:tcBorders>
              <w:top w:val="nil"/>
              <w:left w:val="single" w:color="auto" w:sz="8" w:space="0"/>
              <w:bottom w:val="single" w:color="auto" w:sz="4" w:space="0"/>
              <w:right w:val="single" w:color="auto" w:sz="4" w:space="0"/>
            </w:tcBorders>
            <w:vAlign w:val="center"/>
          </w:tcPr>
          <w:p w14:paraId="0938BA96">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价格（40）</w:t>
            </w:r>
          </w:p>
        </w:tc>
        <w:tc>
          <w:tcPr>
            <w:tcW w:w="1080" w:type="dxa"/>
            <w:tcBorders>
              <w:top w:val="nil"/>
              <w:left w:val="nil"/>
              <w:bottom w:val="single" w:color="auto" w:sz="4" w:space="0"/>
              <w:right w:val="single" w:color="auto" w:sz="4" w:space="0"/>
            </w:tcBorders>
            <w:vAlign w:val="center"/>
          </w:tcPr>
          <w:p w14:paraId="605ABBC5">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价格</w:t>
            </w:r>
          </w:p>
        </w:tc>
        <w:tc>
          <w:tcPr>
            <w:tcW w:w="1080" w:type="dxa"/>
            <w:tcBorders>
              <w:top w:val="nil"/>
              <w:left w:val="nil"/>
              <w:bottom w:val="single" w:color="auto" w:sz="4" w:space="0"/>
              <w:right w:val="single" w:color="auto" w:sz="4" w:space="0"/>
            </w:tcBorders>
            <w:vAlign w:val="center"/>
          </w:tcPr>
          <w:p w14:paraId="13E26603">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40</w:t>
            </w:r>
          </w:p>
        </w:tc>
        <w:tc>
          <w:tcPr>
            <w:tcW w:w="10340" w:type="dxa"/>
            <w:tcBorders>
              <w:top w:val="nil"/>
              <w:left w:val="nil"/>
              <w:bottom w:val="single" w:color="auto" w:sz="4" w:space="0"/>
              <w:right w:val="single" w:color="auto" w:sz="8" w:space="0"/>
            </w:tcBorders>
            <w:vAlign w:val="center"/>
          </w:tcPr>
          <w:p w14:paraId="6F7034B6">
            <w:pPr>
              <w:widowControl/>
              <w:rPr>
                <w:rFonts w:hint="eastAsia" w:ascii="宋体" w:hAnsi="宋体" w:eastAsia="宋体" w:cs="宋体"/>
                <w:kern w:val="0"/>
                <w:sz w:val="16"/>
                <w:szCs w:val="16"/>
              </w:rPr>
            </w:pPr>
            <w:r>
              <w:rPr>
                <w:rFonts w:hint="eastAsia" w:ascii="宋体" w:hAnsi="宋体" w:eastAsia="宋体" w:cs="宋体"/>
                <w:kern w:val="0"/>
                <w:sz w:val="16"/>
                <w:szCs w:val="16"/>
              </w:rPr>
              <w:t>评审基准价计算方法：最低的有效投标价为评标基准价；投标报价得分=（评标基准价/有效投标报价）×40%*100</w:t>
            </w:r>
          </w:p>
        </w:tc>
      </w:tr>
      <w:tr w14:paraId="7E3A7C80">
        <w:tblPrEx>
          <w:tblCellMar>
            <w:top w:w="0" w:type="dxa"/>
            <w:left w:w="108" w:type="dxa"/>
            <w:bottom w:w="0" w:type="dxa"/>
            <w:right w:w="108" w:type="dxa"/>
          </w:tblCellMar>
        </w:tblPrEx>
        <w:trPr>
          <w:trHeight w:val="891" w:hRule="atLeast"/>
        </w:trPr>
        <w:tc>
          <w:tcPr>
            <w:tcW w:w="1080" w:type="dxa"/>
            <w:tcBorders>
              <w:top w:val="nil"/>
              <w:left w:val="single" w:color="auto" w:sz="8" w:space="0"/>
              <w:bottom w:val="single" w:color="auto" w:sz="4" w:space="0"/>
              <w:right w:val="single" w:color="auto" w:sz="4" w:space="0"/>
            </w:tcBorders>
            <w:vAlign w:val="center"/>
          </w:tcPr>
          <w:p w14:paraId="3618F736">
            <w:pPr>
              <w:widowControl/>
              <w:jc w:val="left"/>
              <w:rPr>
                <w:rFonts w:hint="eastAsia" w:ascii="宋体" w:hAnsi="宋体" w:eastAsia="宋体" w:cs="宋体"/>
                <w:kern w:val="0"/>
                <w:sz w:val="16"/>
                <w:szCs w:val="16"/>
              </w:rPr>
            </w:pPr>
          </w:p>
        </w:tc>
        <w:tc>
          <w:tcPr>
            <w:tcW w:w="1080" w:type="dxa"/>
            <w:tcBorders>
              <w:top w:val="nil"/>
              <w:left w:val="nil"/>
              <w:bottom w:val="single" w:color="auto" w:sz="4" w:space="0"/>
              <w:right w:val="single" w:color="auto" w:sz="4" w:space="0"/>
            </w:tcBorders>
            <w:vAlign w:val="center"/>
          </w:tcPr>
          <w:p w14:paraId="76D0B06D">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项目案例</w:t>
            </w:r>
          </w:p>
        </w:tc>
        <w:tc>
          <w:tcPr>
            <w:tcW w:w="1080" w:type="dxa"/>
            <w:tcBorders>
              <w:top w:val="nil"/>
              <w:left w:val="nil"/>
              <w:bottom w:val="single" w:color="auto" w:sz="4" w:space="0"/>
              <w:right w:val="single" w:color="auto" w:sz="4" w:space="0"/>
            </w:tcBorders>
            <w:vAlign w:val="center"/>
          </w:tcPr>
          <w:p w14:paraId="3F0D2F52">
            <w:pPr>
              <w:widowControl/>
              <w:jc w:val="center"/>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6</w:t>
            </w:r>
          </w:p>
        </w:tc>
        <w:tc>
          <w:tcPr>
            <w:tcW w:w="10340" w:type="dxa"/>
            <w:tcBorders>
              <w:top w:val="nil"/>
              <w:left w:val="nil"/>
              <w:bottom w:val="single" w:color="auto" w:sz="4" w:space="0"/>
              <w:right w:val="single" w:color="auto" w:sz="8" w:space="0"/>
            </w:tcBorders>
            <w:vAlign w:val="center"/>
          </w:tcPr>
          <w:p w14:paraId="77DD4204">
            <w:pPr>
              <w:widowControl/>
              <w:rPr>
                <w:rFonts w:hint="eastAsia" w:ascii="宋体" w:hAnsi="宋体" w:eastAsia="宋体" w:cs="宋体"/>
                <w:color w:val="000000"/>
                <w:kern w:val="0"/>
                <w:sz w:val="16"/>
                <w:szCs w:val="16"/>
              </w:rPr>
            </w:pPr>
            <w:r>
              <w:rPr>
                <w:rFonts w:hint="eastAsia" w:ascii="宋体" w:hAnsi="宋体" w:eastAsia="宋体" w:cs="宋体"/>
                <w:kern w:val="0"/>
                <w:sz w:val="16"/>
                <w:szCs w:val="16"/>
              </w:rPr>
              <w:t>近3年类似产品制造或销售项目案例。类似产品包括密闭设备、真空设备、干燥设备、温控系统或其他非标定制设备。提供合同、订单、验收资料、产品出厂或交付证明等材料（复印件加盖公章，原件备查）。每个案例相关度高得2分，部分满足得1分，否则不得分，最高6分。</w:t>
            </w:r>
          </w:p>
        </w:tc>
      </w:tr>
      <w:tr w14:paraId="6F554462">
        <w:tblPrEx>
          <w:tblCellMar>
            <w:top w:w="0" w:type="dxa"/>
            <w:left w:w="108" w:type="dxa"/>
            <w:bottom w:w="0" w:type="dxa"/>
            <w:right w:w="108" w:type="dxa"/>
          </w:tblCellMar>
        </w:tblPrEx>
        <w:trPr>
          <w:trHeight w:val="603" w:hRule="atLeast"/>
        </w:trPr>
        <w:tc>
          <w:tcPr>
            <w:tcW w:w="1080" w:type="dxa"/>
            <w:vMerge w:val="restart"/>
            <w:tcBorders>
              <w:top w:val="nil"/>
              <w:left w:val="single" w:color="auto" w:sz="8" w:space="0"/>
              <w:right w:val="single" w:color="auto" w:sz="4" w:space="0"/>
            </w:tcBorders>
            <w:vAlign w:val="center"/>
          </w:tcPr>
          <w:p w14:paraId="24C72DD1">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技术（</w:t>
            </w:r>
            <w:r>
              <w:rPr>
                <w:rFonts w:hint="eastAsia" w:ascii="宋体" w:hAnsi="宋体" w:eastAsia="宋体" w:cs="宋体"/>
                <w:kern w:val="0"/>
                <w:sz w:val="16"/>
                <w:szCs w:val="16"/>
                <w:lang w:val="en-US" w:eastAsia="zh-CN"/>
              </w:rPr>
              <w:t>48</w:t>
            </w:r>
            <w:r>
              <w:rPr>
                <w:rFonts w:hint="eastAsia" w:ascii="宋体" w:hAnsi="宋体" w:eastAsia="宋体" w:cs="宋体"/>
                <w:kern w:val="0"/>
                <w:sz w:val="16"/>
                <w:szCs w:val="16"/>
              </w:rPr>
              <w:t>）</w:t>
            </w:r>
          </w:p>
        </w:tc>
        <w:tc>
          <w:tcPr>
            <w:tcW w:w="1080" w:type="dxa"/>
            <w:tcBorders>
              <w:top w:val="nil"/>
              <w:left w:val="nil"/>
              <w:bottom w:val="single" w:color="auto" w:sz="4" w:space="0"/>
              <w:right w:val="single" w:color="auto" w:sz="4" w:space="0"/>
            </w:tcBorders>
            <w:vAlign w:val="center"/>
          </w:tcPr>
          <w:p w14:paraId="08357363">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项目交期</w:t>
            </w:r>
          </w:p>
        </w:tc>
        <w:tc>
          <w:tcPr>
            <w:tcW w:w="1080" w:type="dxa"/>
            <w:tcBorders>
              <w:top w:val="nil"/>
              <w:left w:val="nil"/>
              <w:bottom w:val="single" w:color="auto" w:sz="4" w:space="0"/>
              <w:right w:val="single" w:color="auto" w:sz="4" w:space="0"/>
            </w:tcBorders>
            <w:vAlign w:val="center"/>
          </w:tcPr>
          <w:p w14:paraId="059842E2">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10</w:t>
            </w:r>
          </w:p>
        </w:tc>
        <w:tc>
          <w:tcPr>
            <w:tcW w:w="10340" w:type="dxa"/>
            <w:tcBorders>
              <w:top w:val="nil"/>
              <w:left w:val="nil"/>
              <w:bottom w:val="single" w:color="auto" w:sz="4" w:space="0"/>
              <w:right w:val="single" w:color="auto" w:sz="8" w:space="0"/>
            </w:tcBorders>
            <w:vAlign w:val="center"/>
          </w:tcPr>
          <w:p w14:paraId="3D4A8822">
            <w:pPr>
              <w:widowControl/>
              <w:rPr>
                <w:rFonts w:hint="eastAsia" w:ascii="宋体" w:hAnsi="宋体" w:eastAsia="宋体" w:cs="宋体"/>
                <w:kern w:val="0"/>
                <w:sz w:val="16"/>
                <w:szCs w:val="16"/>
              </w:rPr>
            </w:pPr>
            <w:r>
              <w:rPr>
                <w:rFonts w:hint="eastAsia" w:ascii="宋体" w:hAnsi="宋体" w:eastAsia="宋体" w:cs="宋体"/>
                <w:kern w:val="0"/>
                <w:sz w:val="16"/>
                <w:szCs w:val="16"/>
              </w:rPr>
              <w:t>提供项目进度计划表，进度安排有序合理，完全符合议标文件要求并能够</w:t>
            </w:r>
            <w:r>
              <w:rPr>
                <w:rFonts w:hint="eastAsia" w:ascii="宋体" w:hAnsi="宋体" w:eastAsia="宋体" w:cs="宋体"/>
                <w:kern w:val="0"/>
                <w:sz w:val="16"/>
                <w:szCs w:val="16"/>
                <w:lang w:val="en-US" w:eastAsia="zh-CN"/>
              </w:rPr>
              <w:t>提前</w:t>
            </w:r>
            <w:r>
              <w:rPr>
                <w:rFonts w:hint="eastAsia" w:ascii="宋体" w:hAnsi="宋体" w:eastAsia="宋体" w:cs="宋体"/>
                <w:kern w:val="0"/>
                <w:sz w:val="16"/>
                <w:szCs w:val="16"/>
              </w:rPr>
              <w:t>交付的得</w:t>
            </w:r>
            <w:r>
              <w:rPr>
                <w:rFonts w:hint="eastAsia" w:ascii="宋体" w:hAnsi="宋体" w:eastAsia="宋体" w:cs="宋体"/>
                <w:kern w:val="0"/>
                <w:sz w:val="16"/>
                <w:szCs w:val="16"/>
                <w:lang w:val="en-US" w:eastAsia="zh-CN"/>
              </w:rPr>
              <w:t>10</w:t>
            </w:r>
            <w:r>
              <w:rPr>
                <w:rFonts w:hint="eastAsia" w:ascii="宋体" w:hAnsi="宋体" w:eastAsia="宋体" w:cs="宋体"/>
                <w:kern w:val="0"/>
                <w:sz w:val="16"/>
                <w:szCs w:val="16"/>
              </w:rPr>
              <w:t>分，完全符合议标文件要求并能够</w:t>
            </w:r>
            <w:r>
              <w:rPr>
                <w:rFonts w:hint="eastAsia" w:ascii="宋体" w:hAnsi="宋体" w:eastAsia="宋体" w:cs="宋体"/>
                <w:kern w:val="0"/>
                <w:sz w:val="16"/>
                <w:szCs w:val="16"/>
                <w:lang w:val="en-US" w:eastAsia="zh-CN"/>
              </w:rPr>
              <w:t>按时</w:t>
            </w:r>
            <w:r>
              <w:rPr>
                <w:rFonts w:hint="eastAsia" w:ascii="宋体" w:hAnsi="宋体" w:eastAsia="宋体" w:cs="宋体"/>
                <w:kern w:val="0"/>
                <w:sz w:val="16"/>
                <w:szCs w:val="16"/>
              </w:rPr>
              <w:t>交付的得</w:t>
            </w:r>
            <w:r>
              <w:rPr>
                <w:rFonts w:hint="eastAsia" w:ascii="宋体" w:hAnsi="宋体" w:eastAsia="宋体" w:cs="宋体"/>
                <w:kern w:val="0"/>
                <w:sz w:val="16"/>
                <w:szCs w:val="16"/>
                <w:lang w:val="en-US" w:eastAsia="zh-CN"/>
              </w:rPr>
              <w:t>6</w:t>
            </w:r>
            <w:r>
              <w:rPr>
                <w:rFonts w:hint="eastAsia" w:ascii="宋体" w:hAnsi="宋体" w:eastAsia="宋体" w:cs="宋体"/>
                <w:kern w:val="0"/>
                <w:sz w:val="16"/>
                <w:szCs w:val="16"/>
              </w:rPr>
              <w:t>分</w:t>
            </w:r>
            <w:r>
              <w:rPr>
                <w:rFonts w:hint="eastAsia" w:ascii="宋体" w:hAnsi="宋体" w:eastAsia="宋体" w:cs="宋体"/>
                <w:kern w:val="0"/>
                <w:sz w:val="16"/>
                <w:szCs w:val="16"/>
                <w:lang w:eastAsia="zh-CN"/>
              </w:rPr>
              <w:t>，</w:t>
            </w:r>
            <w:r>
              <w:rPr>
                <w:rFonts w:hint="eastAsia" w:ascii="宋体" w:hAnsi="宋体" w:eastAsia="宋体" w:cs="宋体"/>
                <w:kern w:val="0"/>
                <w:sz w:val="16"/>
                <w:szCs w:val="16"/>
              </w:rPr>
              <w:t>基本符合要求</w:t>
            </w:r>
            <w:r>
              <w:rPr>
                <w:rFonts w:hint="eastAsia" w:ascii="宋体" w:hAnsi="宋体" w:eastAsia="宋体" w:cs="宋体"/>
                <w:kern w:val="0"/>
                <w:sz w:val="16"/>
                <w:szCs w:val="16"/>
                <w:lang w:val="en-US" w:eastAsia="zh-CN"/>
              </w:rPr>
              <w:t>并能按时交付</w:t>
            </w:r>
            <w:r>
              <w:rPr>
                <w:rFonts w:hint="eastAsia" w:ascii="宋体" w:hAnsi="宋体" w:eastAsia="宋体" w:cs="宋体"/>
                <w:kern w:val="0"/>
                <w:sz w:val="16"/>
                <w:szCs w:val="16"/>
              </w:rPr>
              <w:t>的得</w:t>
            </w:r>
            <w:r>
              <w:rPr>
                <w:rFonts w:hint="eastAsia" w:ascii="宋体" w:hAnsi="宋体" w:eastAsia="宋体" w:cs="宋体"/>
                <w:kern w:val="0"/>
                <w:sz w:val="16"/>
                <w:szCs w:val="16"/>
                <w:lang w:val="en-US" w:eastAsia="zh-CN"/>
              </w:rPr>
              <w:t>,4</w:t>
            </w:r>
            <w:r>
              <w:rPr>
                <w:rFonts w:hint="eastAsia" w:ascii="宋体" w:hAnsi="宋体" w:eastAsia="宋体" w:cs="宋体"/>
                <w:kern w:val="0"/>
                <w:sz w:val="16"/>
                <w:szCs w:val="16"/>
              </w:rPr>
              <w:t>分，不符合要求不得分。</w:t>
            </w:r>
          </w:p>
        </w:tc>
      </w:tr>
      <w:tr w14:paraId="285884F2">
        <w:tblPrEx>
          <w:tblCellMar>
            <w:top w:w="0" w:type="dxa"/>
            <w:left w:w="108" w:type="dxa"/>
            <w:bottom w:w="0" w:type="dxa"/>
            <w:right w:w="108" w:type="dxa"/>
          </w:tblCellMar>
        </w:tblPrEx>
        <w:trPr>
          <w:trHeight w:val="1050" w:hRule="atLeast"/>
        </w:trPr>
        <w:tc>
          <w:tcPr>
            <w:tcW w:w="1080" w:type="dxa"/>
            <w:vMerge w:val="continue"/>
            <w:tcBorders>
              <w:left w:val="single" w:color="auto" w:sz="8" w:space="0"/>
              <w:right w:val="single" w:color="auto" w:sz="4" w:space="0"/>
            </w:tcBorders>
            <w:vAlign w:val="center"/>
          </w:tcPr>
          <w:p w14:paraId="352D611C">
            <w:pPr>
              <w:widowControl/>
              <w:jc w:val="left"/>
              <w:rPr>
                <w:rFonts w:hint="eastAsia" w:ascii="宋体" w:hAnsi="宋体" w:eastAsia="宋体" w:cs="宋体"/>
                <w:kern w:val="0"/>
                <w:sz w:val="16"/>
                <w:szCs w:val="16"/>
              </w:rPr>
            </w:pPr>
          </w:p>
        </w:tc>
        <w:tc>
          <w:tcPr>
            <w:tcW w:w="1080" w:type="dxa"/>
            <w:tcBorders>
              <w:top w:val="nil"/>
              <w:left w:val="nil"/>
              <w:bottom w:val="single" w:color="auto" w:sz="4" w:space="0"/>
              <w:right w:val="single" w:color="auto" w:sz="4" w:space="0"/>
            </w:tcBorders>
            <w:vAlign w:val="center"/>
          </w:tcPr>
          <w:p w14:paraId="28F32C3D">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技术能力</w:t>
            </w:r>
          </w:p>
        </w:tc>
        <w:tc>
          <w:tcPr>
            <w:tcW w:w="1080" w:type="dxa"/>
            <w:tcBorders>
              <w:top w:val="nil"/>
              <w:left w:val="nil"/>
              <w:bottom w:val="single" w:color="auto" w:sz="4" w:space="0"/>
              <w:right w:val="single" w:color="auto" w:sz="4" w:space="0"/>
            </w:tcBorders>
            <w:vAlign w:val="center"/>
          </w:tcPr>
          <w:p w14:paraId="13F4FB6D">
            <w:pPr>
              <w:widowControl/>
              <w:jc w:val="center"/>
              <w:rPr>
                <w:rFonts w:hint="eastAsia" w:ascii="宋体" w:hAnsi="宋体" w:eastAsia="宋体" w:cs="宋体"/>
                <w:kern w:val="0"/>
                <w:sz w:val="16"/>
                <w:szCs w:val="16"/>
                <w:lang w:eastAsia="zh-CN"/>
              </w:rPr>
            </w:pPr>
            <w:r>
              <w:rPr>
                <w:rFonts w:hint="eastAsia" w:ascii="宋体" w:hAnsi="宋体" w:eastAsia="宋体" w:cs="宋体"/>
                <w:kern w:val="0"/>
                <w:sz w:val="16"/>
                <w:szCs w:val="16"/>
              </w:rPr>
              <w:t>3</w:t>
            </w:r>
            <w:r>
              <w:rPr>
                <w:rFonts w:hint="eastAsia" w:ascii="宋体" w:hAnsi="宋体" w:eastAsia="宋体" w:cs="宋体"/>
                <w:kern w:val="0"/>
                <w:sz w:val="16"/>
                <w:szCs w:val="16"/>
                <w:lang w:val="en-US" w:eastAsia="zh-CN"/>
              </w:rPr>
              <w:t>2</w:t>
            </w:r>
          </w:p>
        </w:tc>
        <w:tc>
          <w:tcPr>
            <w:tcW w:w="10340" w:type="dxa"/>
            <w:tcBorders>
              <w:top w:val="nil"/>
              <w:left w:val="nil"/>
              <w:bottom w:val="single" w:color="auto" w:sz="4" w:space="0"/>
              <w:right w:val="single" w:color="auto" w:sz="8" w:space="0"/>
            </w:tcBorders>
            <w:vAlign w:val="center"/>
          </w:tcPr>
          <w:p w14:paraId="2A9A95D8">
            <w:pPr>
              <w:widowControl/>
              <w:rPr>
                <w:rFonts w:hint="eastAsia" w:ascii="宋体" w:hAnsi="宋体" w:eastAsia="宋体" w:cs="宋体"/>
                <w:kern w:val="0"/>
                <w:sz w:val="16"/>
                <w:szCs w:val="16"/>
              </w:rPr>
            </w:pPr>
            <w:r>
              <w:rPr>
                <w:rFonts w:hint="eastAsia" w:ascii="宋体" w:hAnsi="宋体" w:eastAsia="宋体" w:cs="宋体"/>
                <w:kern w:val="0"/>
                <w:sz w:val="16"/>
                <w:szCs w:val="16"/>
              </w:rPr>
              <w:t>1. 内腔尺寸，直径不小于</w:t>
            </w:r>
            <w:r>
              <w:rPr>
                <w:rFonts w:hint="eastAsia" w:ascii="宋体" w:hAnsi="宋体" w:eastAsia="宋体" w:cs="宋体"/>
                <w:kern w:val="0"/>
                <w:sz w:val="16"/>
                <w:szCs w:val="16"/>
                <w:lang w:val="en-US" w:eastAsia="zh-CN"/>
              </w:rPr>
              <w:t>4</w:t>
            </w:r>
            <w:r>
              <w:rPr>
                <w:rFonts w:hint="eastAsia" w:ascii="宋体" w:hAnsi="宋体" w:eastAsia="宋体" w:cs="宋体"/>
                <w:kern w:val="0"/>
                <w:sz w:val="16"/>
                <w:szCs w:val="16"/>
              </w:rPr>
              <w:t>00mm，深度不小于1</w:t>
            </w:r>
            <w:r>
              <w:rPr>
                <w:rFonts w:hint="eastAsia" w:ascii="宋体" w:hAnsi="宋体" w:eastAsia="宋体" w:cs="宋体"/>
                <w:kern w:val="0"/>
                <w:sz w:val="16"/>
                <w:szCs w:val="16"/>
                <w:lang w:val="en-US" w:eastAsia="zh-CN"/>
              </w:rPr>
              <w:t>2</w:t>
            </w:r>
            <w:r>
              <w:rPr>
                <w:rFonts w:hint="eastAsia" w:ascii="宋体" w:hAnsi="宋体" w:eastAsia="宋体" w:cs="宋体"/>
                <w:kern w:val="0"/>
                <w:sz w:val="16"/>
                <w:szCs w:val="16"/>
              </w:rPr>
              <w:t>00mm，满足得4分，否则不得分。</w:t>
            </w:r>
          </w:p>
          <w:p w14:paraId="07734D06">
            <w:pPr>
              <w:widowControl/>
              <w:rPr>
                <w:rFonts w:hint="eastAsia" w:ascii="宋体" w:hAnsi="宋体" w:eastAsia="宋体" w:cs="宋体"/>
                <w:kern w:val="0"/>
                <w:sz w:val="16"/>
                <w:szCs w:val="16"/>
              </w:rPr>
            </w:pPr>
            <w:r>
              <w:rPr>
                <w:rFonts w:hint="eastAsia" w:ascii="宋体" w:hAnsi="宋体" w:eastAsia="宋体" w:cs="宋体"/>
                <w:kern w:val="0"/>
                <w:sz w:val="16"/>
                <w:szCs w:val="16"/>
              </w:rPr>
              <w:t>2. 温度控制范围，RT～300℃，满足得3分，否则不得分。</w:t>
            </w:r>
          </w:p>
          <w:p w14:paraId="47F40526">
            <w:pPr>
              <w:widowControl/>
              <w:rPr>
                <w:rFonts w:hint="eastAsia" w:ascii="宋体" w:hAnsi="宋体" w:eastAsia="宋体" w:cs="宋体"/>
                <w:kern w:val="0"/>
                <w:sz w:val="16"/>
                <w:szCs w:val="16"/>
                <w:lang w:val="en-US" w:eastAsia="zh-CN"/>
              </w:rPr>
            </w:pPr>
            <w:r>
              <w:rPr>
                <w:rFonts w:hint="eastAsia" w:ascii="宋体" w:hAnsi="宋体" w:eastAsia="宋体" w:cs="宋体"/>
                <w:kern w:val="0"/>
                <w:sz w:val="16"/>
                <w:szCs w:val="16"/>
              </w:rPr>
              <w:t>3. 控制模式，包括程序升温、恒温干燥、定时运行及多段温度曲线控制，全部满足得4分，否则不得分。</w:t>
            </w:r>
          </w:p>
          <w:p w14:paraId="6D5E9294">
            <w:pPr>
              <w:widowControl/>
              <w:rPr>
                <w:rFonts w:hint="eastAsia" w:ascii="宋体" w:hAnsi="宋体" w:eastAsia="宋体" w:cs="宋体"/>
                <w:kern w:val="0"/>
                <w:sz w:val="16"/>
                <w:szCs w:val="16"/>
              </w:rPr>
            </w:pPr>
            <w:r>
              <w:rPr>
                <w:rFonts w:hint="eastAsia" w:ascii="宋体" w:hAnsi="宋体" w:eastAsia="宋体" w:cs="宋体"/>
                <w:kern w:val="0"/>
                <w:sz w:val="16"/>
                <w:szCs w:val="16"/>
              </w:rPr>
              <w:t>4. 温度解析度等于或优于0.01℃，满足得3分，否则不得分。</w:t>
            </w:r>
          </w:p>
          <w:p w14:paraId="602A28D5">
            <w:pPr>
              <w:widowControl/>
              <w:rPr>
                <w:rFonts w:hint="eastAsia" w:ascii="宋体" w:hAnsi="宋体" w:eastAsia="宋体" w:cs="宋体"/>
                <w:kern w:val="0"/>
                <w:sz w:val="16"/>
                <w:szCs w:val="16"/>
              </w:rPr>
            </w:pPr>
            <w:r>
              <w:rPr>
                <w:rFonts w:hint="eastAsia" w:ascii="宋体" w:hAnsi="宋体" w:eastAsia="宋体" w:cs="宋体"/>
                <w:kern w:val="0"/>
                <w:sz w:val="16"/>
                <w:szCs w:val="16"/>
              </w:rPr>
              <w:t>5. 恒温运行时温度稳定性等于或优于±1℃/min，温度采集通道≥32个，满足得3分，否则不得分。</w:t>
            </w:r>
          </w:p>
          <w:p w14:paraId="4C6D50F7">
            <w:pPr>
              <w:widowControl/>
              <w:rPr>
                <w:rFonts w:hint="eastAsia" w:ascii="宋体" w:hAnsi="宋体" w:eastAsia="宋体" w:cs="宋体"/>
                <w:kern w:val="0"/>
                <w:sz w:val="16"/>
                <w:szCs w:val="16"/>
              </w:rPr>
            </w:pPr>
            <w:r>
              <w:rPr>
                <w:rFonts w:hint="eastAsia" w:ascii="宋体" w:hAnsi="宋体" w:eastAsia="宋体" w:cs="宋体"/>
                <w:kern w:val="0"/>
                <w:sz w:val="16"/>
                <w:szCs w:val="16"/>
              </w:rPr>
              <w:t>6. 温度精度等于或优于±0.3℃，满足得3分，否则不得分。</w:t>
            </w:r>
          </w:p>
          <w:p w14:paraId="18C7E88D">
            <w:pPr>
              <w:widowControl/>
              <w:rPr>
                <w:rFonts w:hint="eastAsia" w:ascii="宋体" w:hAnsi="宋体" w:eastAsia="宋体" w:cs="宋体"/>
                <w:kern w:val="0"/>
                <w:sz w:val="16"/>
                <w:szCs w:val="16"/>
              </w:rPr>
            </w:pPr>
            <w:r>
              <w:rPr>
                <w:rFonts w:hint="eastAsia" w:ascii="宋体" w:hAnsi="宋体" w:eastAsia="宋体" w:cs="宋体"/>
                <w:kern w:val="0"/>
                <w:sz w:val="16"/>
                <w:szCs w:val="16"/>
              </w:rPr>
              <w:t>7. 程序升温速率可在0.01℃/min～15℃/min范围内设定，满足得3分，否则不得分。</w:t>
            </w:r>
          </w:p>
          <w:p w14:paraId="2E69B52F">
            <w:pPr>
              <w:widowControl/>
              <w:rPr>
                <w:rFonts w:hint="eastAsia" w:ascii="宋体" w:hAnsi="宋体" w:eastAsia="宋体" w:cs="宋体"/>
                <w:kern w:val="0"/>
                <w:sz w:val="16"/>
                <w:szCs w:val="16"/>
              </w:rPr>
            </w:pPr>
            <w:r>
              <w:rPr>
                <w:rFonts w:hint="eastAsia" w:ascii="宋体" w:hAnsi="宋体" w:eastAsia="宋体" w:cs="宋体"/>
                <w:kern w:val="0"/>
                <w:sz w:val="16"/>
                <w:szCs w:val="16"/>
              </w:rPr>
              <w:t>8. 恒温阶段腔内温度控制偏差≤±0.</w:t>
            </w:r>
            <w:r>
              <w:rPr>
                <w:rFonts w:hint="eastAsia" w:ascii="宋体" w:hAnsi="宋体" w:eastAsia="宋体" w:cs="宋体"/>
                <w:kern w:val="0"/>
                <w:sz w:val="16"/>
                <w:szCs w:val="16"/>
                <w:lang w:val="en-US" w:eastAsia="zh-CN"/>
              </w:rPr>
              <w:t>5</w:t>
            </w:r>
            <w:r>
              <w:rPr>
                <w:rFonts w:hint="eastAsia" w:ascii="宋体" w:hAnsi="宋体" w:eastAsia="宋体" w:cs="宋体"/>
                <w:kern w:val="0"/>
                <w:sz w:val="16"/>
                <w:szCs w:val="16"/>
              </w:rPr>
              <w:t>℃，满足得3分，否则不得分。</w:t>
            </w:r>
          </w:p>
          <w:p w14:paraId="3353A2BD">
            <w:pPr>
              <w:widowControl/>
              <w:rPr>
                <w:rFonts w:hint="eastAsia" w:ascii="宋体" w:hAnsi="宋体" w:eastAsia="宋体" w:cs="宋体"/>
                <w:kern w:val="0"/>
                <w:sz w:val="16"/>
                <w:szCs w:val="16"/>
                <w:highlight w:val="none"/>
                <w:lang w:val="en-US" w:eastAsia="zh-CN"/>
              </w:rPr>
            </w:pPr>
            <w:r>
              <w:rPr>
                <w:rFonts w:hint="eastAsia" w:ascii="宋体" w:hAnsi="宋体" w:eastAsia="宋体" w:cs="宋体"/>
                <w:kern w:val="0"/>
                <w:sz w:val="16"/>
                <w:szCs w:val="16"/>
                <w:highlight w:val="none"/>
                <w:lang w:val="en-US" w:eastAsia="zh-CN"/>
              </w:rPr>
              <w:t>9. 真空及密闭能力：空载绝对压力≤10kPa；按技术要求在≤10kPa（绝压）下隔离保压30min，压力上升值≤0.3kPa，并具备压力监控与记录功能，全部满足得3分，否则不得分。</w:t>
            </w:r>
          </w:p>
          <w:p w14:paraId="37D7A30F">
            <w:pPr>
              <w:widowControl/>
              <w:rPr>
                <w:rFonts w:hint="default" w:ascii="宋体" w:hAnsi="宋体" w:eastAsia="宋体" w:cs="宋体"/>
                <w:kern w:val="0"/>
                <w:sz w:val="16"/>
                <w:szCs w:val="16"/>
                <w:lang w:val="en-US" w:eastAsia="zh-CN"/>
              </w:rPr>
            </w:pPr>
            <w:r>
              <w:rPr>
                <w:rFonts w:hint="eastAsia" w:ascii="宋体" w:hAnsi="宋体" w:eastAsia="宋体" w:cs="宋体"/>
                <w:kern w:val="0"/>
                <w:sz w:val="16"/>
                <w:szCs w:val="16"/>
                <w:highlight w:val="none"/>
                <w:lang w:val="en-US" w:eastAsia="zh-CN"/>
              </w:rPr>
              <w:t>10. 干燥工艺能力：具备氮气置换吹扫、抽真空—充氮自动循环及阶段性排气功能，温度、压力、保持时间、排气时间和循环次数可编程设定，并具备气路联锁及超压保护，全部满足得3分，否则不得分。</w:t>
            </w:r>
          </w:p>
        </w:tc>
      </w:tr>
      <w:tr w14:paraId="108E67E2">
        <w:tblPrEx>
          <w:tblCellMar>
            <w:top w:w="0" w:type="dxa"/>
            <w:left w:w="108" w:type="dxa"/>
            <w:bottom w:w="0" w:type="dxa"/>
            <w:right w:w="108" w:type="dxa"/>
          </w:tblCellMar>
        </w:tblPrEx>
        <w:trPr>
          <w:trHeight w:val="611" w:hRule="atLeast"/>
        </w:trPr>
        <w:tc>
          <w:tcPr>
            <w:tcW w:w="1080" w:type="dxa"/>
            <w:vMerge w:val="continue"/>
            <w:tcBorders>
              <w:left w:val="single" w:color="auto" w:sz="8" w:space="0"/>
              <w:bottom w:val="single" w:color="auto" w:sz="4" w:space="0"/>
              <w:right w:val="single" w:color="auto" w:sz="4" w:space="0"/>
            </w:tcBorders>
            <w:vAlign w:val="center"/>
          </w:tcPr>
          <w:p w14:paraId="66F10C95">
            <w:pPr>
              <w:widowControl/>
              <w:jc w:val="left"/>
              <w:rPr>
                <w:rFonts w:hint="eastAsia" w:ascii="宋体" w:hAnsi="宋体" w:eastAsia="宋体" w:cs="宋体"/>
                <w:kern w:val="0"/>
                <w:sz w:val="16"/>
                <w:szCs w:val="16"/>
              </w:rPr>
            </w:pPr>
          </w:p>
        </w:tc>
        <w:tc>
          <w:tcPr>
            <w:tcW w:w="1080" w:type="dxa"/>
            <w:tcBorders>
              <w:top w:val="nil"/>
              <w:left w:val="nil"/>
              <w:bottom w:val="single" w:color="auto" w:sz="4" w:space="0"/>
              <w:right w:val="single" w:color="auto" w:sz="4" w:space="0"/>
            </w:tcBorders>
            <w:vAlign w:val="center"/>
          </w:tcPr>
          <w:p w14:paraId="487C93B5">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质量保证与监督</w:t>
            </w:r>
          </w:p>
        </w:tc>
        <w:tc>
          <w:tcPr>
            <w:tcW w:w="1080" w:type="dxa"/>
            <w:tcBorders>
              <w:top w:val="nil"/>
              <w:left w:val="nil"/>
              <w:bottom w:val="single" w:color="auto" w:sz="4" w:space="0"/>
              <w:right w:val="single" w:color="auto" w:sz="4" w:space="0"/>
            </w:tcBorders>
            <w:vAlign w:val="center"/>
          </w:tcPr>
          <w:p w14:paraId="6E3B6FF3">
            <w:pPr>
              <w:widowControl/>
              <w:jc w:val="center"/>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6</w:t>
            </w:r>
          </w:p>
        </w:tc>
        <w:tc>
          <w:tcPr>
            <w:tcW w:w="10340" w:type="dxa"/>
            <w:tcBorders>
              <w:top w:val="nil"/>
              <w:left w:val="nil"/>
              <w:bottom w:val="single" w:color="auto" w:sz="4" w:space="0"/>
              <w:right w:val="single" w:color="auto" w:sz="8" w:space="0"/>
            </w:tcBorders>
            <w:vAlign w:val="center"/>
          </w:tcPr>
          <w:p w14:paraId="7942BE60">
            <w:pPr>
              <w:widowControl/>
              <w:rPr>
                <w:rFonts w:hint="eastAsia" w:ascii="宋体" w:hAnsi="宋体" w:eastAsia="宋体" w:cs="宋体"/>
                <w:kern w:val="0"/>
                <w:sz w:val="16"/>
                <w:szCs w:val="16"/>
              </w:rPr>
            </w:pPr>
            <w:r>
              <w:rPr>
                <w:rFonts w:hint="eastAsia" w:ascii="宋体" w:hAnsi="宋体" w:eastAsia="宋体" w:cs="宋体"/>
                <w:kern w:val="0"/>
                <w:sz w:val="16"/>
                <w:szCs w:val="16"/>
              </w:rPr>
              <w:t>具备完善的质量保障体系，且持续有效运行，具有专业的质量监督人员，针对本项目质量控制措施完备有效，得</w:t>
            </w:r>
            <w:r>
              <w:rPr>
                <w:rFonts w:hint="eastAsia" w:ascii="宋体" w:hAnsi="宋体" w:eastAsia="宋体" w:cs="宋体"/>
                <w:kern w:val="0"/>
                <w:sz w:val="16"/>
                <w:szCs w:val="16"/>
                <w:lang w:val="en-US" w:eastAsia="zh-CN"/>
              </w:rPr>
              <w:t>6</w:t>
            </w:r>
            <w:r>
              <w:rPr>
                <w:rFonts w:hint="eastAsia" w:ascii="宋体" w:hAnsi="宋体" w:eastAsia="宋体" w:cs="宋体"/>
                <w:kern w:val="0"/>
                <w:sz w:val="16"/>
                <w:szCs w:val="16"/>
              </w:rPr>
              <w:t>分；基本满足得</w:t>
            </w:r>
            <w:r>
              <w:rPr>
                <w:rFonts w:hint="eastAsia" w:ascii="宋体" w:hAnsi="宋体" w:eastAsia="宋体" w:cs="宋体"/>
                <w:kern w:val="0"/>
                <w:sz w:val="16"/>
                <w:szCs w:val="16"/>
                <w:lang w:val="en-US" w:eastAsia="zh-CN"/>
              </w:rPr>
              <w:t>3</w:t>
            </w:r>
            <w:r>
              <w:rPr>
                <w:rFonts w:hint="eastAsia" w:ascii="宋体" w:hAnsi="宋体" w:eastAsia="宋体" w:cs="宋体"/>
                <w:kern w:val="0"/>
                <w:sz w:val="16"/>
                <w:szCs w:val="16"/>
              </w:rPr>
              <w:t>分，否则不得分。</w:t>
            </w:r>
          </w:p>
        </w:tc>
      </w:tr>
      <w:tr w14:paraId="46329563">
        <w:tblPrEx>
          <w:tblCellMar>
            <w:top w:w="0" w:type="dxa"/>
            <w:left w:w="108" w:type="dxa"/>
            <w:bottom w:w="0" w:type="dxa"/>
            <w:right w:w="108" w:type="dxa"/>
          </w:tblCellMar>
        </w:tblPrEx>
        <w:trPr>
          <w:trHeight w:val="420" w:hRule="atLeast"/>
        </w:trPr>
        <w:tc>
          <w:tcPr>
            <w:tcW w:w="1080" w:type="dxa"/>
            <w:tcBorders>
              <w:top w:val="single" w:color="auto" w:sz="4" w:space="0"/>
              <w:left w:val="single" w:color="auto" w:sz="4" w:space="0"/>
              <w:bottom w:val="single" w:color="auto" w:sz="4" w:space="0"/>
              <w:right w:val="single" w:color="auto" w:sz="4" w:space="0"/>
            </w:tcBorders>
            <w:vAlign w:val="center"/>
          </w:tcPr>
          <w:p w14:paraId="4233F815">
            <w:pPr>
              <w:widowControl/>
              <w:jc w:val="left"/>
              <w:rPr>
                <w:rFonts w:hint="eastAsia" w:ascii="宋体" w:hAnsi="宋体" w:eastAsia="宋体" w:cs="宋体"/>
                <w:kern w:val="0"/>
                <w:sz w:val="16"/>
                <w:szCs w:val="16"/>
              </w:rPr>
            </w:pPr>
          </w:p>
        </w:tc>
        <w:tc>
          <w:tcPr>
            <w:tcW w:w="1080" w:type="dxa"/>
            <w:tcBorders>
              <w:top w:val="single" w:color="auto" w:sz="4" w:space="0"/>
              <w:left w:val="single" w:color="auto" w:sz="4" w:space="0"/>
              <w:bottom w:val="single" w:color="auto" w:sz="4" w:space="0"/>
              <w:right w:val="single" w:color="auto" w:sz="4" w:space="0"/>
            </w:tcBorders>
            <w:vAlign w:val="center"/>
          </w:tcPr>
          <w:p w14:paraId="5EC11332">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售后服务</w:t>
            </w:r>
          </w:p>
        </w:tc>
        <w:tc>
          <w:tcPr>
            <w:tcW w:w="1080" w:type="dxa"/>
            <w:tcBorders>
              <w:top w:val="nil"/>
              <w:left w:val="nil"/>
              <w:bottom w:val="single" w:color="auto" w:sz="4" w:space="0"/>
              <w:right w:val="single" w:color="auto" w:sz="4" w:space="0"/>
            </w:tcBorders>
            <w:vAlign w:val="center"/>
          </w:tcPr>
          <w:p w14:paraId="300A4FA3">
            <w:pPr>
              <w:widowControl/>
              <w:jc w:val="center"/>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6</w:t>
            </w:r>
          </w:p>
        </w:tc>
        <w:tc>
          <w:tcPr>
            <w:tcW w:w="10340" w:type="dxa"/>
            <w:tcBorders>
              <w:top w:val="nil"/>
              <w:left w:val="nil"/>
              <w:bottom w:val="single" w:color="auto" w:sz="4" w:space="0"/>
              <w:right w:val="single" w:color="auto" w:sz="8" w:space="0"/>
            </w:tcBorders>
            <w:vAlign w:val="center"/>
          </w:tcPr>
          <w:p w14:paraId="169DFE54">
            <w:pPr>
              <w:widowControl/>
              <w:rPr>
                <w:rFonts w:hint="eastAsia" w:ascii="宋体" w:hAnsi="宋体" w:eastAsia="宋体" w:cs="宋体"/>
                <w:kern w:val="0"/>
                <w:sz w:val="16"/>
                <w:szCs w:val="16"/>
              </w:rPr>
            </w:pPr>
            <w:r>
              <w:rPr>
                <w:rFonts w:hint="eastAsia" w:ascii="宋体" w:hAnsi="宋体" w:eastAsia="宋体" w:cs="宋体"/>
                <w:kern w:val="0"/>
                <w:sz w:val="16"/>
                <w:szCs w:val="16"/>
              </w:rPr>
              <w:t>根据服务流程、故障处理、应急响应速度，技术服务能力，是否在本地服务等情况进行综合评价，优得</w:t>
            </w:r>
            <w:r>
              <w:rPr>
                <w:rFonts w:hint="eastAsia" w:ascii="宋体" w:hAnsi="宋体" w:eastAsia="宋体" w:cs="宋体"/>
                <w:kern w:val="0"/>
                <w:sz w:val="16"/>
                <w:szCs w:val="16"/>
                <w:lang w:val="en-US" w:eastAsia="zh-CN"/>
              </w:rPr>
              <w:t>6</w:t>
            </w:r>
            <w:r>
              <w:rPr>
                <w:rFonts w:hint="eastAsia" w:ascii="宋体" w:hAnsi="宋体" w:eastAsia="宋体" w:cs="宋体"/>
                <w:kern w:val="0"/>
                <w:sz w:val="16"/>
                <w:szCs w:val="16"/>
              </w:rPr>
              <w:t>分，良得</w:t>
            </w:r>
            <w:r>
              <w:rPr>
                <w:rFonts w:hint="eastAsia" w:ascii="宋体" w:hAnsi="宋体" w:eastAsia="宋体" w:cs="宋体"/>
                <w:kern w:val="0"/>
                <w:sz w:val="16"/>
                <w:szCs w:val="16"/>
                <w:lang w:val="en-US" w:eastAsia="zh-CN"/>
              </w:rPr>
              <w:t>4</w:t>
            </w:r>
            <w:r>
              <w:rPr>
                <w:rFonts w:hint="eastAsia" w:ascii="宋体" w:hAnsi="宋体" w:eastAsia="宋体" w:cs="宋体"/>
                <w:kern w:val="0"/>
                <w:sz w:val="16"/>
                <w:szCs w:val="16"/>
              </w:rPr>
              <w:t>分，差不得分。</w:t>
            </w:r>
          </w:p>
        </w:tc>
      </w:tr>
      <w:tr w14:paraId="35509C6B">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8" w:space="0"/>
              <w:bottom w:val="single" w:color="auto" w:sz="8" w:space="0"/>
              <w:right w:val="single" w:color="auto" w:sz="4" w:space="0"/>
            </w:tcBorders>
            <w:vAlign w:val="center"/>
          </w:tcPr>
          <w:p w14:paraId="1D99CBA3">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总分</w:t>
            </w:r>
          </w:p>
        </w:tc>
        <w:tc>
          <w:tcPr>
            <w:tcW w:w="1080" w:type="dxa"/>
            <w:tcBorders>
              <w:top w:val="single" w:color="auto" w:sz="4" w:space="0"/>
              <w:left w:val="nil"/>
              <w:bottom w:val="single" w:color="auto" w:sz="8" w:space="0"/>
              <w:right w:val="single" w:color="auto" w:sz="4" w:space="0"/>
            </w:tcBorders>
            <w:vAlign w:val="center"/>
          </w:tcPr>
          <w:p w14:paraId="3025E96F">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　</w:t>
            </w:r>
          </w:p>
        </w:tc>
        <w:tc>
          <w:tcPr>
            <w:tcW w:w="1080" w:type="dxa"/>
            <w:tcBorders>
              <w:top w:val="nil"/>
              <w:left w:val="nil"/>
              <w:bottom w:val="single" w:color="auto" w:sz="8" w:space="0"/>
              <w:right w:val="single" w:color="auto" w:sz="4" w:space="0"/>
            </w:tcBorders>
            <w:vAlign w:val="center"/>
          </w:tcPr>
          <w:p w14:paraId="39790A29">
            <w:pPr>
              <w:widowControl/>
              <w:jc w:val="center"/>
              <w:rPr>
                <w:rFonts w:hint="eastAsia" w:ascii="宋体" w:hAnsi="宋体" w:eastAsia="宋体" w:cs="宋体"/>
                <w:kern w:val="0"/>
                <w:sz w:val="16"/>
                <w:szCs w:val="16"/>
              </w:rPr>
            </w:pPr>
            <w:r>
              <w:rPr>
                <w:rFonts w:hint="eastAsia" w:ascii="宋体" w:hAnsi="宋体" w:eastAsia="宋体" w:cs="宋体"/>
                <w:kern w:val="0"/>
                <w:sz w:val="16"/>
                <w:szCs w:val="16"/>
              </w:rPr>
              <w:t>100</w:t>
            </w:r>
          </w:p>
        </w:tc>
        <w:tc>
          <w:tcPr>
            <w:tcW w:w="10340" w:type="dxa"/>
            <w:tcBorders>
              <w:top w:val="nil"/>
              <w:left w:val="nil"/>
              <w:bottom w:val="single" w:color="auto" w:sz="8" w:space="0"/>
              <w:right w:val="single" w:color="auto" w:sz="8" w:space="0"/>
            </w:tcBorders>
            <w:vAlign w:val="center"/>
          </w:tcPr>
          <w:p w14:paraId="7387A1A1">
            <w:pPr>
              <w:widowControl/>
              <w:rPr>
                <w:rFonts w:hint="eastAsia" w:ascii="宋体" w:hAnsi="宋体" w:eastAsia="宋体" w:cs="宋体"/>
                <w:kern w:val="0"/>
                <w:sz w:val="16"/>
                <w:szCs w:val="16"/>
              </w:rPr>
            </w:pPr>
            <w:r>
              <w:rPr>
                <w:rFonts w:hint="eastAsia" w:ascii="宋体" w:hAnsi="宋体" w:eastAsia="宋体" w:cs="宋体"/>
                <w:kern w:val="0"/>
                <w:sz w:val="16"/>
                <w:szCs w:val="16"/>
              </w:rPr>
              <w:t>　</w:t>
            </w:r>
          </w:p>
        </w:tc>
      </w:tr>
    </w:tbl>
    <w:p w14:paraId="708D8352">
      <w:pPr>
        <w:sectPr>
          <w:pgSz w:w="16838" w:h="11906" w:orient="landscape"/>
          <w:pgMar w:top="1418" w:right="1440" w:bottom="1418" w:left="1440" w:header="851" w:footer="992" w:gutter="0"/>
          <w:cols w:space="425" w:num="1"/>
          <w:docGrid w:type="lines" w:linePitch="312" w:charSpace="0"/>
        </w:sectPr>
      </w:pPr>
    </w:p>
    <w:p w14:paraId="7FF3C171">
      <w:pPr>
        <w:pStyle w:val="3"/>
        <w:spacing w:line="360" w:lineRule="auto"/>
        <w:rPr>
          <w:rFonts w:hint="eastAsia" w:asciiTheme="minorEastAsia" w:hAnsiTheme="minorEastAsia" w:eastAsiaTheme="minorEastAsia"/>
          <w:lang w:eastAsia="zh-CN"/>
        </w:rPr>
      </w:pPr>
      <w:r>
        <w:rPr>
          <w:rFonts w:hint="eastAsia" w:asciiTheme="minorEastAsia" w:hAnsiTheme="minorEastAsia" w:eastAsiaTheme="minorEastAsia"/>
          <w:lang w:eastAsia="zh-CN"/>
        </w:rPr>
        <w:t>第三章合同</w:t>
      </w:r>
      <w:bookmarkEnd w:id="96"/>
      <w:bookmarkEnd w:id="97"/>
      <w:bookmarkEnd w:id="98"/>
      <w:r>
        <w:rPr>
          <w:rFonts w:hint="eastAsia" w:asciiTheme="minorEastAsia" w:hAnsiTheme="minorEastAsia" w:eastAsiaTheme="minorEastAsia"/>
          <w:lang w:eastAsia="zh-CN"/>
        </w:rPr>
        <w:t>格式</w:t>
      </w:r>
    </w:p>
    <w:p w14:paraId="4551188B">
      <w:pPr>
        <w:pStyle w:val="110"/>
        <w:spacing w:after="0" w:line="360" w:lineRule="auto"/>
        <w:ind w:firstLine="5280" w:firstLineChars="2200"/>
        <w:outlineLvl w:val="0"/>
        <w:rPr>
          <w:rFonts w:hint="eastAsia" w:cs="宋体" w:asciiTheme="minorEastAsia" w:hAnsiTheme="minorEastAsia"/>
          <w:color w:val="auto"/>
        </w:rPr>
      </w:pPr>
      <w:bookmarkStart w:id="99" w:name="_Toc427665306"/>
      <w:r>
        <w:rPr>
          <w:rFonts w:hint="eastAsia" w:cs="宋体" w:asciiTheme="minorEastAsia" w:hAnsiTheme="minorEastAsia"/>
          <w:color w:val="auto"/>
        </w:rPr>
        <w:t>合同编号：</w:t>
      </w:r>
    </w:p>
    <w:p w14:paraId="53275626">
      <w:pPr>
        <w:widowControl/>
        <w:adjustRightInd w:val="0"/>
        <w:snapToGrid w:val="0"/>
        <w:spacing w:line="360" w:lineRule="auto"/>
        <w:jc w:val="center"/>
        <w:rPr>
          <w:rFonts w:hint="eastAsia" w:hAnsi="宋体" w:cs="Arial"/>
          <w:b/>
          <w:sz w:val="36"/>
          <w:szCs w:val="36"/>
        </w:rPr>
      </w:pPr>
    </w:p>
    <w:p w14:paraId="2720DEDA">
      <w:pPr>
        <w:widowControl/>
        <w:spacing w:line="500" w:lineRule="exact"/>
        <w:ind w:firstLine="480" w:firstLineChars="200"/>
        <w:jc w:val="left"/>
        <w:rPr>
          <w:rFonts w:hint="eastAsia" w:hAnsi="宋体"/>
          <w:sz w:val="24"/>
          <w:szCs w:val="21"/>
        </w:rPr>
      </w:pPr>
    </w:p>
    <w:p w14:paraId="33120C04">
      <w:pPr>
        <w:pStyle w:val="110"/>
        <w:spacing w:after="0" w:line="360" w:lineRule="auto"/>
        <w:jc w:val="center"/>
        <w:outlineLvl w:val="0"/>
        <w:rPr>
          <w:rFonts w:hint="eastAsia" w:cs="宋体" w:asciiTheme="minorEastAsia" w:hAnsiTheme="minorEastAsia"/>
          <w:b/>
          <w:bCs/>
          <w:color w:val="auto"/>
          <w:sz w:val="32"/>
          <w:szCs w:val="32"/>
        </w:rPr>
      </w:pPr>
    </w:p>
    <w:p w14:paraId="5663BF7B">
      <w:pPr>
        <w:pStyle w:val="110"/>
        <w:spacing w:after="0" w:line="360" w:lineRule="auto"/>
        <w:jc w:val="center"/>
        <w:outlineLvl w:val="0"/>
        <w:rPr>
          <w:rFonts w:hint="eastAsia" w:cs="宋体" w:asciiTheme="minorEastAsia" w:hAnsiTheme="minorEastAsia"/>
          <w:b/>
          <w:bCs/>
          <w:color w:val="auto"/>
          <w:sz w:val="32"/>
          <w:szCs w:val="32"/>
        </w:rPr>
      </w:pPr>
    </w:p>
    <w:p w14:paraId="4BB5BD35">
      <w:pPr>
        <w:pStyle w:val="110"/>
        <w:spacing w:after="0" w:line="360" w:lineRule="auto"/>
        <w:jc w:val="both"/>
        <w:outlineLvl w:val="0"/>
        <w:rPr>
          <w:rFonts w:hint="eastAsia" w:cs="宋体" w:asciiTheme="minorEastAsia" w:hAnsiTheme="minorEastAsia"/>
          <w:b/>
          <w:bCs/>
          <w:color w:val="auto"/>
          <w:sz w:val="32"/>
          <w:szCs w:val="32"/>
        </w:rPr>
      </w:pPr>
    </w:p>
    <w:p w14:paraId="162866D5">
      <w:pPr>
        <w:pStyle w:val="110"/>
        <w:spacing w:after="0" w:line="360" w:lineRule="auto"/>
        <w:jc w:val="center"/>
        <w:outlineLvl w:val="0"/>
        <w:rPr>
          <w:rFonts w:hint="eastAsia" w:cs="宋体" w:asciiTheme="minorEastAsia" w:hAnsiTheme="minorEastAsia"/>
          <w:b/>
          <w:bCs/>
          <w:color w:val="auto"/>
          <w:sz w:val="32"/>
          <w:szCs w:val="32"/>
        </w:rPr>
      </w:pPr>
    </w:p>
    <w:p w14:paraId="26FDC548">
      <w:pPr>
        <w:pStyle w:val="110"/>
        <w:spacing w:after="0" w:line="360" w:lineRule="auto"/>
        <w:jc w:val="center"/>
        <w:outlineLvl w:val="0"/>
        <w:rPr>
          <w:rFonts w:hint="eastAsia" w:cs="宋体" w:asciiTheme="minorEastAsia" w:hAnsiTheme="minorEastAsia"/>
          <w:b/>
          <w:bCs/>
          <w:color w:val="auto"/>
          <w:sz w:val="44"/>
          <w:szCs w:val="44"/>
        </w:rPr>
      </w:pPr>
      <w:r>
        <w:rPr>
          <w:rFonts w:hint="eastAsia" w:cs="宋体" w:asciiTheme="minorEastAsia" w:hAnsiTheme="minorEastAsia"/>
          <w:b/>
          <w:bCs/>
          <w:color w:val="auto"/>
          <w:sz w:val="44"/>
          <w:szCs w:val="44"/>
        </w:rPr>
        <w:t>仪器设备采购合同</w:t>
      </w:r>
    </w:p>
    <w:p w14:paraId="70863511">
      <w:pPr>
        <w:pStyle w:val="110"/>
        <w:spacing w:after="0" w:line="360" w:lineRule="auto"/>
        <w:jc w:val="center"/>
        <w:outlineLvl w:val="0"/>
        <w:rPr>
          <w:rFonts w:hint="eastAsia" w:cs="宋体" w:asciiTheme="minorEastAsia" w:hAnsiTheme="minorEastAsia"/>
          <w:b/>
          <w:bCs/>
          <w:color w:val="auto"/>
          <w:sz w:val="44"/>
          <w:szCs w:val="44"/>
        </w:rPr>
      </w:pPr>
    </w:p>
    <w:p w14:paraId="67AECC2D">
      <w:pPr>
        <w:pStyle w:val="110"/>
        <w:spacing w:after="0" w:line="360" w:lineRule="auto"/>
        <w:ind w:firstLine="480" w:firstLineChars="200"/>
        <w:outlineLvl w:val="0"/>
        <w:rPr>
          <w:rFonts w:hint="eastAsia" w:cs="宋体" w:asciiTheme="minorEastAsia" w:hAnsiTheme="minorEastAsia"/>
          <w:color w:val="auto"/>
        </w:rPr>
      </w:pPr>
    </w:p>
    <w:p w14:paraId="37DBD60E">
      <w:pPr>
        <w:pStyle w:val="110"/>
        <w:spacing w:after="0" w:line="360" w:lineRule="auto"/>
        <w:ind w:firstLine="480" w:firstLineChars="200"/>
        <w:outlineLvl w:val="0"/>
        <w:rPr>
          <w:rFonts w:hint="eastAsia" w:cs="宋体" w:asciiTheme="minorEastAsia" w:hAnsiTheme="minorEastAsia"/>
          <w:color w:val="auto"/>
        </w:rPr>
      </w:pPr>
    </w:p>
    <w:p w14:paraId="07AFACA8">
      <w:pPr>
        <w:pStyle w:val="110"/>
        <w:spacing w:after="0" w:line="360" w:lineRule="auto"/>
        <w:ind w:firstLine="480" w:firstLineChars="200"/>
        <w:outlineLvl w:val="0"/>
        <w:rPr>
          <w:rFonts w:hint="eastAsia" w:cs="宋体" w:asciiTheme="minorEastAsia" w:hAnsiTheme="minorEastAsia"/>
          <w:color w:val="auto"/>
        </w:rPr>
      </w:pPr>
    </w:p>
    <w:p w14:paraId="797F6D23">
      <w:pPr>
        <w:pStyle w:val="110"/>
        <w:spacing w:after="0" w:line="360" w:lineRule="auto"/>
        <w:ind w:firstLine="480" w:firstLineChars="200"/>
        <w:outlineLvl w:val="0"/>
        <w:rPr>
          <w:rFonts w:hint="eastAsia" w:cs="宋体" w:asciiTheme="minorEastAsia" w:hAnsiTheme="minorEastAsia"/>
          <w:color w:val="auto"/>
        </w:rPr>
      </w:pPr>
    </w:p>
    <w:p w14:paraId="288ADC31">
      <w:pPr>
        <w:pStyle w:val="110"/>
        <w:spacing w:after="0" w:line="360" w:lineRule="auto"/>
        <w:ind w:firstLine="480" w:firstLineChars="200"/>
        <w:outlineLvl w:val="0"/>
        <w:rPr>
          <w:rFonts w:hint="eastAsia" w:cs="宋体" w:asciiTheme="minorEastAsia" w:hAnsiTheme="minorEastAsia"/>
          <w:color w:val="auto"/>
        </w:rPr>
      </w:pPr>
    </w:p>
    <w:p w14:paraId="722DFCAB">
      <w:pPr>
        <w:pStyle w:val="110"/>
        <w:spacing w:after="0" w:line="360" w:lineRule="auto"/>
        <w:ind w:firstLine="480" w:firstLineChars="200"/>
        <w:outlineLvl w:val="0"/>
        <w:rPr>
          <w:rFonts w:hint="eastAsia" w:cs="宋体" w:asciiTheme="minorEastAsia" w:hAnsiTheme="minorEastAsia"/>
          <w:color w:val="auto"/>
        </w:rPr>
      </w:pPr>
    </w:p>
    <w:p w14:paraId="69432727">
      <w:pPr>
        <w:pStyle w:val="110"/>
        <w:spacing w:after="0" w:line="360" w:lineRule="auto"/>
        <w:ind w:firstLine="480" w:firstLineChars="200"/>
        <w:outlineLvl w:val="0"/>
        <w:rPr>
          <w:rFonts w:hint="eastAsia" w:cs="宋体" w:asciiTheme="minorEastAsia" w:hAnsiTheme="minorEastAsia"/>
          <w:color w:val="auto"/>
        </w:rPr>
      </w:pPr>
    </w:p>
    <w:p w14:paraId="5041E6E6">
      <w:pPr>
        <w:pStyle w:val="110"/>
        <w:spacing w:after="0" w:line="360" w:lineRule="auto"/>
        <w:ind w:firstLine="480" w:firstLineChars="200"/>
        <w:outlineLvl w:val="0"/>
        <w:rPr>
          <w:rFonts w:hint="eastAsia" w:cs="宋体" w:asciiTheme="minorEastAsia" w:hAnsiTheme="minorEastAsia"/>
          <w:color w:val="auto"/>
        </w:rPr>
      </w:pPr>
    </w:p>
    <w:p w14:paraId="0B43D655">
      <w:pPr>
        <w:pStyle w:val="110"/>
        <w:spacing w:after="0" w:line="360" w:lineRule="auto"/>
        <w:ind w:firstLine="480" w:firstLineChars="200"/>
        <w:outlineLvl w:val="0"/>
        <w:rPr>
          <w:rFonts w:hint="eastAsia" w:cs="宋体" w:asciiTheme="minorEastAsia" w:hAnsiTheme="minorEastAsia"/>
          <w:color w:val="auto"/>
        </w:rPr>
      </w:pPr>
    </w:p>
    <w:p w14:paraId="44822703">
      <w:pPr>
        <w:pStyle w:val="110"/>
        <w:spacing w:after="0" w:line="360" w:lineRule="auto"/>
        <w:ind w:firstLine="480" w:firstLineChars="200"/>
        <w:outlineLvl w:val="0"/>
        <w:rPr>
          <w:rFonts w:hint="eastAsia" w:cs="宋体" w:asciiTheme="minorEastAsia" w:hAnsiTheme="minorEastAsia"/>
          <w:color w:val="auto"/>
        </w:rPr>
      </w:pPr>
    </w:p>
    <w:p w14:paraId="501F7767">
      <w:pPr>
        <w:pStyle w:val="110"/>
        <w:spacing w:after="0" w:line="360" w:lineRule="auto"/>
        <w:ind w:firstLine="480" w:firstLineChars="200"/>
        <w:outlineLvl w:val="0"/>
        <w:rPr>
          <w:rFonts w:hint="eastAsia" w:cs="宋体" w:asciiTheme="minorEastAsia" w:hAnsiTheme="minorEastAsia"/>
          <w:color w:val="auto"/>
        </w:rPr>
      </w:pPr>
    </w:p>
    <w:p w14:paraId="62349809">
      <w:pPr>
        <w:pStyle w:val="110"/>
        <w:spacing w:after="0" w:line="360" w:lineRule="auto"/>
        <w:ind w:firstLine="480" w:firstLineChars="200"/>
        <w:outlineLvl w:val="0"/>
        <w:rPr>
          <w:rFonts w:hint="eastAsia" w:cs="宋体" w:asciiTheme="minorEastAsia" w:hAnsiTheme="minorEastAsia"/>
          <w:color w:val="auto"/>
        </w:rPr>
      </w:pPr>
      <w:r>
        <w:rPr>
          <w:rFonts w:hint="eastAsia" w:cs="宋体" w:asciiTheme="minorEastAsia" w:hAnsiTheme="minorEastAsia"/>
          <w:color w:val="auto"/>
        </w:rPr>
        <w:t>甲方：国联汽车动力电池研究院有限责任公司</w:t>
      </w:r>
    </w:p>
    <w:p w14:paraId="16B98782">
      <w:pPr>
        <w:pStyle w:val="110"/>
        <w:spacing w:after="0" w:line="360" w:lineRule="auto"/>
        <w:ind w:firstLine="480" w:firstLineChars="200"/>
        <w:outlineLvl w:val="0"/>
        <w:rPr>
          <w:rFonts w:hint="eastAsia" w:cs="宋体" w:asciiTheme="minorEastAsia" w:hAnsiTheme="minorEastAsia"/>
          <w:color w:val="auto"/>
        </w:rPr>
      </w:pPr>
      <w:r>
        <w:rPr>
          <w:rFonts w:hint="eastAsia" w:cs="宋体" w:asciiTheme="minorEastAsia" w:hAnsiTheme="minorEastAsia"/>
          <w:color w:val="auto"/>
        </w:rPr>
        <w:t>地址：北京市怀柔区雁栖经济开发区兴科东大街11号</w:t>
      </w:r>
    </w:p>
    <w:p w14:paraId="669051D4">
      <w:pPr>
        <w:pStyle w:val="110"/>
        <w:spacing w:after="0" w:line="360" w:lineRule="auto"/>
        <w:ind w:firstLine="480" w:firstLineChars="200"/>
        <w:outlineLvl w:val="0"/>
        <w:rPr>
          <w:rFonts w:hint="eastAsia" w:cs="宋体" w:asciiTheme="minorEastAsia" w:hAnsiTheme="minorEastAsia"/>
          <w:color w:val="auto"/>
        </w:rPr>
      </w:pPr>
    </w:p>
    <w:p w14:paraId="49A0166B">
      <w:pPr>
        <w:pStyle w:val="110"/>
        <w:spacing w:after="0" w:line="360" w:lineRule="auto"/>
        <w:ind w:firstLine="480" w:firstLineChars="200"/>
        <w:outlineLvl w:val="0"/>
        <w:rPr>
          <w:rFonts w:hint="eastAsia" w:cs="宋体" w:asciiTheme="minorEastAsia" w:hAnsiTheme="minorEastAsia"/>
          <w:color w:val="auto"/>
        </w:rPr>
      </w:pPr>
      <w:r>
        <w:rPr>
          <w:rFonts w:hint="eastAsia" w:cs="宋体" w:asciiTheme="minorEastAsia" w:hAnsiTheme="minorEastAsia"/>
          <w:color w:val="auto"/>
        </w:rPr>
        <w:t xml:space="preserve">乙方： </w:t>
      </w:r>
    </w:p>
    <w:p w14:paraId="1D88EFFF">
      <w:pPr>
        <w:pStyle w:val="110"/>
        <w:spacing w:after="0" w:line="360" w:lineRule="auto"/>
        <w:ind w:firstLine="480" w:firstLineChars="200"/>
        <w:outlineLvl w:val="0"/>
        <w:rPr>
          <w:rFonts w:hint="eastAsia" w:cs="宋体" w:asciiTheme="minorEastAsia" w:hAnsiTheme="minorEastAsia"/>
          <w:color w:val="auto"/>
        </w:rPr>
      </w:pPr>
      <w:r>
        <w:rPr>
          <w:rFonts w:hint="eastAsia" w:cs="宋体" w:asciiTheme="minorEastAsia" w:hAnsiTheme="minorEastAsia"/>
          <w:color w:val="auto"/>
        </w:rPr>
        <w:t xml:space="preserve">地址： </w:t>
      </w:r>
    </w:p>
    <w:p w14:paraId="296BDD69">
      <w:pPr>
        <w:pStyle w:val="110"/>
        <w:spacing w:after="0" w:line="360" w:lineRule="auto"/>
        <w:ind w:firstLine="480" w:firstLineChars="200"/>
        <w:outlineLvl w:val="0"/>
        <w:rPr>
          <w:rFonts w:hint="eastAsia" w:cs="宋体" w:asciiTheme="minorEastAsia" w:hAnsiTheme="minorEastAsia"/>
          <w:color w:val="auto"/>
        </w:rPr>
      </w:pPr>
    </w:p>
    <w:p w14:paraId="2A19BB78">
      <w:pPr>
        <w:pStyle w:val="110"/>
        <w:spacing w:after="0" w:line="360" w:lineRule="auto"/>
        <w:ind w:firstLine="480" w:firstLineChars="200"/>
        <w:outlineLvl w:val="0"/>
        <w:rPr>
          <w:rFonts w:hint="eastAsia" w:cs="宋体" w:asciiTheme="minorEastAsia" w:hAnsiTheme="minorEastAsia"/>
          <w:color w:val="auto"/>
        </w:rPr>
      </w:pPr>
      <w:r>
        <w:rPr>
          <w:rFonts w:hint="eastAsia" w:cs="宋体" w:asciiTheme="minorEastAsia" w:hAnsiTheme="minorEastAsia"/>
          <w:color w:val="auto"/>
        </w:rPr>
        <w:t>根据《中华人民共和国民法典》及相关法律法规的规定，甲乙双方在平等、自愿的基础上，经友好协商，就乙方向甲方提供【</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宋体" w:asciiTheme="minorEastAsia" w:hAnsiTheme="minorEastAsia"/>
          <w:color w:val="auto"/>
        </w:rPr>
        <w:t>】涉及的相</w:t>
      </w:r>
      <w:r>
        <w:rPr>
          <w:rFonts w:hint="eastAsia" w:cs="宋体" w:asciiTheme="minorEastAsia" w:hAnsiTheme="minorEastAsia"/>
          <w:color w:val="auto"/>
          <w:lang w:val="en-US" w:eastAsia="zh-CN"/>
        </w:rPr>
        <w:t>关</w:t>
      </w:r>
      <w:r>
        <w:rPr>
          <w:rFonts w:hint="eastAsia" w:cs="宋体" w:asciiTheme="minorEastAsia" w:hAnsiTheme="minorEastAsia"/>
          <w:color w:val="auto"/>
        </w:rPr>
        <w:t xml:space="preserve">产品及服务的有关事宜达成一致意见，订立本合同，以兹共同遵守。 </w:t>
      </w:r>
    </w:p>
    <w:p w14:paraId="3839B885">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产品品名、型号、计量单位、数量、单价、价款（元）</w:t>
      </w:r>
    </w:p>
    <w:tbl>
      <w:tblPr>
        <w:tblStyle w:val="77"/>
        <w:tblW w:w="9747" w:type="dxa"/>
        <w:tblInd w:w="0" w:type="dxa"/>
        <w:tblLayout w:type="fixed"/>
        <w:tblCellMar>
          <w:top w:w="0" w:type="dxa"/>
          <w:left w:w="108" w:type="dxa"/>
          <w:bottom w:w="0" w:type="dxa"/>
          <w:right w:w="108" w:type="dxa"/>
        </w:tblCellMar>
      </w:tblPr>
      <w:tblGrid>
        <w:gridCol w:w="2223"/>
        <w:gridCol w:w="236"/>
        <w:gridCol w:w="1187"/>
        <w:gridCol w:w="236"/>
        <w:gridCol w:w="1262"/>
        <w:gridCol w:w="982"/>
        <w:gridCol w:w="1262"/>
        <w:gridCol w:w="1261"/>
        <w:gridCol w:w="1098"/>
      </w:tblGrid>
      <w:tr w14:paraId="63CDF163">
        <w:tblPrEx>
          <w:tblCellMar>
            <w:top w:w="0" w:type="dxa"/>
            <w:left w:w="108" w:type="dxa"/>
            <w:bottom w:w="0" w:type="dxa"/>
            <w:right w:w="108" w:type="dxa"/>
          </w:tblCellMar>
        </w:tblPrEx>
        <w:tc>
          <w:tcPr>
            <w:tcW w:w="2223" w:type="dxa"/>
            <w:tcBorders>
              <w:top w:val="single" w:color="auto" w:sz="4" w:space="0"/>
              <w:left w:val="single" w:color="auto" w:sz="4" w:space="0"/>
              <w:bottom w:val="single" w:color="auto" w:sz="4" w:space="0"/>
            </w:tcBorders>
          </w:tcPr>
          <w:p w14:paraId="19689C90">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产品品名</w:t>
            </w:r>
          </w:p>
        </w:tc>
        <w:tc>
          <w:tcPr>
            <w:tcW w:w="236" w:type="dxa"/>
            <w:tcBorders>
              <w:top w:val="single" w:color="auto" w:sz="4" w:space="0"/>
              <w:left w:val="single" w:color="auto" w:sz="4" w:space="0"/>
              <w:bottom w:val="single" w:color="auto" w:sz="4" w:space="0"/>
            </w:tcBorders>
          </w:tcPr>
          <w:p w14:paraId="5D4AF669">
            <w:pPr>
              <w:spacing w:before="31" w:beforeLines="10" w:after="31" w:afterLines="10" w:line="360" w:lineRule="auto"/>
              <w:jc w:val="center"/>
              <w:rPr>
                <w:rFonts w:hint="eastAsia" w:cs="宋体" w:asciiTheme="minorEastAsia" w:hAnsiTheme="minorEastAsia"/>
                <w:kern w:val="0"/>
                <w:sz w:val="24"/>
                <w:szCs w:val="24"/>
              </w:rPr>
            </w:pPr>
          </w:p>
        </w:tc>
        <w:tc>
          <w:tcPr>
            <w:tcW w:w="1187" w:type="dxa"/>
            <w:tcBorders>
              <w:top w:val="single" w:color="auto" w:sz="4" w:space="0"/>
              <w:bottom w:val="single" w:color="auto" w:sz="4" w:space="0"/>
              <w:right w:val="single" w:color="auto" w:sz="4" w:space="0"/>
            </w:tcBorders>
          </w:tcPr>
          <w:p w14:paraId="1FDBF988">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型号</w:t>
            </w:r>
          </w:p>
        </w:tc>
        <w:tc>
          <w:tcPr>
            <w:tcW w:w="236" w:type="dxa"/>
            <w:tcBorders>
              <w:top w:val="single" w:color="auto" w:sz="4" w:space="0"/>
              <w:left w:val="single" w:color="auto" w:sz="4" w:space="0"/>
              <w:bottom w:val="single" w:color="auto" w:sz="4" w:space="0"/>
            </w:tcBorders>
          </w:tcPr>
          <w:p w14:paraId="550092A6">
            <w:pPr>
              <w:spacing w:before="31" w:beforeLines="10" w:after="31" w:afterLines="10" w:line="360" w:lineRule="auto"/>
              <w:jc w:val="center"/>
              <w:rPr>
                <w:rFonts w:hint="eastAsia" w:cs="宋体" w:asciiTheme="minorEastAsia" w:hAnsiTheme="minorEastAsia"/>
                <w:kern w:val="0"/>
                <w:sz w:val="24"/>
                <w:szCs w:val="24"/>
              </w:rPr>
            </w:pPr>
          </w:p>
        </w:tc>
        <w:tc>
          <w:tcPr>
            <w:tcW w:w="1262" w:type="dxa"/>
            <w:tcBorders>
              <w:top w:val="single" w:color="auto" w:sz="4" w:space="0"/>
              <w:bottom w:val="single" w:color="auto" w:sz="4" w:space="0"/>
              <w:right w:val="single" w:color="auto" w:sz="4" w:space="0"/>
            </w:tcBorders>
          </w:tcPr>
          <w:p w14:paraId="1206C5A5">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计量单位</w:t>
            </w:r>
          </w:p>
        </w:tc>
        <w:tc>
          <w:tcPr>
            <w:tcW w:w="982" w:type="dxa"/>
            <w:tcBorders>
              <w:top w:val="single" w:color="auto" w:sz="4" w:space="0"/>
              <w:left w:val="single" w:color="auto" w:sz="4" w:space="0"/>
              <w:bottom w:val="single" w:color="auto" w:sz="4" w:space="0"/>
              <w:right w:val="single" w:color="auto" w:sz="4" w:space="0"/>
            </w:tcBorders>
          </w:tcPr>
          <w:p w14:paraId="28D90E87">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数量</w:t>
            </w:r>
          </w:p>
        </w:tc>
        <w:tc>
          <w:tcPr>
            <w:tcW w:w="1262" w:type="dxa"/>
            <w:tcBorders>
              <w:top w:val="single" w:color="auto" w:sz="4" w:space="0"/>
              <w:left w:val="single" w:color="auto" w:sz="4" w:space="0"/>
              <w:bottom w:val="single" w:color="auto" w:sz="4" w:space="0"/>
              <w:right w:val="single" w:color="auto" w:sz="4" w:space="0"/>
            </w:tcBorders>
          </w:tcPr>
          <w:p w14:paraId="2A0F24BD">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单价</w:t>
            </w:r>
          </w:p>
        </w:tc>
        <w:tc>
          <w:tcPr>
            <w:tcW w:w="1261" w:type="dxa"/>
            <w:tcBorders>
              <w:top w:val="single" w:color="auto" w:sz="4" w:space="0"/>
              <w:left w:val="single" w:color="auto" w:sz="4" w:space="0"/>
              <w:bottom w:val="single" w:color="auto" w:sz="4" w:space="0"/>
              <w:right w:val="single" w:color="auto" w:sz="4" w:space="0"/>
            </w:tcBorders>
          </w:tcPr>
          <w:p w14:paraId="22013C61">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金额小计</w:t>
            </w:r>
          </w:p>
        </w:tc>
        <w:tc>
          <w:tcPr>
            <w:tcW w:w="1098" w:type="dxa"/>
            <w:tcBorders>
              <w:top w:val="single" w:color="auto" w:sz="4" w:space="0"/>
              <w:left w:val="single" w:color="auto" w:sz="4" w:space="0"/>
              <w:bottom w:val="single" w:color="auto" w:sz="4" w:space="0"/>
              <w:right w:val="single" w:color="auto" w:sz="4" w:space="0"/>
            </w:tcBorders>
          </w:tcPr>
          <w:p w14:paraId="24762749">
            <w:pPr>
              <w:spacing w:before="31" w:beforeLines="10" w:after="31" w:afterLines="10"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备注</w:t>
            </w:r>
          </w:p>
        </w:tc>
      </w:tr>
      <w:tr w14:paraId="210793FD">
        <w:tblPrEx>
          <w:tblCellMar>
            <w:top w:w="0" w:type="dxa"/>
            <w:left w:w="108" w:type="dxa"/>
            <w:bottom w:w="0" w:type="dxa"/>
            <w:right w:w="108" w:type="dxa"/>
          </w:tblCellMar>
        </w:tblPrEx>
        <w:tc>
          <w:tcPr>
            <w:tcW w:w="2223" w:type="dxa"/>
            <w:tcBorders>
              <w:top w:val="single" w:color="auto" w:sz="4" w:space="0"/>
              <w:left w:val="single" w:color="auto" w:sz="4" w:space="0"/>
              <w:bottom w:val="single" w:color="auto" w:sz="4" w:space="0"/>
            </w:tcBorders>
          </w:tcPr>
          <w:p w14:paraId="6EB242F2">
            <w:pPr>
              <w:spacing w:before="31" w:beforeLines="10" w:after="31" w:afterLines="10" w:line="360" w:lineRule="auto"/>
              <w:jc w:val="center"/>
              <w:rPr>
                <w:rFonts w:hint="eastAsia" w:cs="宋体" w:asciiTheme="minorEastAsia" w:hAnsiTheme="minorEastAsia"/>
                <w:kern w:val="0"/>
                <w:sz w:val="24"/>
                <w:szCs w:val="24"/>
              </w:rPr>
            </w:pPr>
          </w:p>
        </w:tc>
        <w:tc>
          <w:tcPr>
            <w:tcW w:w="236" w:type="dxa"/>
            <w:tcBorders>
              <w:top w:val="single" w:color="auto" w:sz="4" w:space="0"/>
              <w:left w:val="single" w:color="auto" w:sz="4" w:space="0"/>
              <w:bottom w:val="single" w:color="auto" w:sz="4" w:space="0"/>
            </w:tcBorders>
          </w:tcPr>
          <w:p w14:paraId="47BF31E7">
            <w:pPr>
              <w:spacing w:before="31" w:beforeLines="10" w:after="31" w:afterLines="10" w:line="360" w:lineRule="auto"/>
              <w:jc w:val="center"/>
              <w:rPr>
                <w:rFonts w:hint="eastAsia" w:cs="宋体" w:asciiTheme="minorEastAsia" w:hAnsiTheme="minorEastAsia"/>
                <w:kern w:val="0"/>
                <w:sz w:val="24"/>
                <w:szCs w:val="24"/>
              </w:rPr>
            </w:pPr>
          </w:p>
        </w:tc>
        <w:tc>
          <w:tcPr>
            <w:tcW w:w="1187" w:type="dxa"/>
            <w:tcBorders>
              <w:top w:val="single" w:color="auto" w:sz="4" w:space="0"/>
              <w:bottom w:val="single" w:color="auto" w:sz="4" w:space="0"/>
              <w:right w:val="single" w:color="auto" w:sz="4" w:space="0"/>
            </w:tcBorders>
          </w:tcPr>
          <w:p w14:paraId="0CEA4BA7">
            <w:pPr>
              <w:spacing w:before="31" w:beforeLines="10" w:after="31" w:afterLines="10" w:line="360" w:lineRule="auto"/>
              <w:jc w:val="center"/>
              <w:rPr>
                <w:rFonts w:hint="eastAsia" w:cs="宋体" w:asciiTheme="minorEastAsia" w:hAnsiTheme="minorEastAsia"/>
                <w:kern w:val="0"/>
                <w:sz w:val="24"/>
                <w:szCs w:val="24"/>
              </w:rPr>
            </w:pPr>
          </w:p>
        </w:tc>
        <w:tc>
          <w:tcPr>
            <w:tcW w:w="236" w:type="dxa"/>
            <w:tcBorders>
              <w:top w:val="single" w:color="auto" w:sz="4" w:space="0"/>
              <w:left w:val="single" w:color="auto" w:sz="4" w:space="0"/>
              <w:bottom w:val="single" w:color="auto" w:sz="4" w:space="0"/>
            </w:tcBorders>
          </w:tcPr>
          <w:p w14:paraId="13650C41">
            <w:pPr>
              <w:spacing w:before="31" w:beforeLines="10" w:after="31" w:afterLines="10" w:line="360" w:lineRule="auto"/>
              <w:jc w:val="center"/>
              <w:rPr>
                <w:rFonts w:hint="eastAsia" w:cs="宋体" w:asciiTheme="minorEastAsia" w:hAnsiTheme="minorEastAsia"/>
                <w:kern w:val="0"/>
                <w:sz w:val="24"/>
                <w:szCs w:val="24"/>
              </w:rPr>
            </w:pPr>
          </w:p>
        </w:tc>
        <w:tc>
          <w:tcPr>
            <w:tcW w:w="1262" w:type="dxa"/>
            <w:tcBorders>
              <w:top w:val="single" w:color="auto" w:sz="4" w:space="0"/>
              <w:bottom w:val="single" w:color="auto" w:sz="4" w:space="0"/>
              <w:right w:val="single" w:color="auto" w:sz="4" w:space="0"/>
            </w:tcBorders>
          </w:tcPr>
          <w:p w14:paraId="2693D123">
            <w:pPr>
              <w:spacing w:before="31" w:beforeLines="10" w:after="31" w:afterLines="10" w:line="360" w:lineRule="auto"/>
              <w:rPr>
                <w:rFonts w:hint="eastAsia" w:cs="宋体" w:asciiTheme="minorEastAsia" w:hAnsiTheme="minorEastAsia"/>
                <w:kern w:val="0"/>
                <w:sz w:val="24"/>
                <w:szCs w:val="24"/>
              </w:rPr>
            </w:pPr>
          </w:p>
        </w:tc>
        <w:tc>
          <w:tcPr>
            <w:tcW w:w="982" w:type="dxa"/>
            <w:tcBorders>
              <w:top w:val="single" w:color="auto" w:sz="4" w:space="0"/>
              <w:left w:val="single" w:color="auto" w:sz="4" w:space="0"/>
              <w:bottom w:val="single" w:color="auto" w:sz="4" w:space="0"/>
              <w:right w:val="single" w:color="auto" w:sz="4" w:space="0"/>
            </w:tcBorders>
          </w:tcPr>
          <w:p w14:paraId="0FCAF60C">
            <w:pPr>
              <w:spacing w:before="31" w:beforeLines="10" w:after="31" w:afterLines="10" w:line="360" w:lineRule="auto"/>
              <w:ind w:firstLine="360" w:firstLineChars="150"/>
              <w:rPr>
                <w:rFonts w:hint="eastAsia" w:cs="宋体" w:asciiTheme="minorEastAsia" w:hAnsiTheme="minorEastAsia"/>
                <w:kern w:val="0"/>
                <w:sz w:val="24"/>
                <w:szCs w:val="24"/>
              </w:rPr>
            </w:pPr>
          </w:p>
        </w:tc>
        <w:tc>
          <w:tcPr>
            <w:tcW w:w="1262" w:type="dxa"/>
            <w:tcBorders>
              <w:top w:val="single" w:color="auto" w:sz="4" w:space="0"/>
              <w:left w:val="single" w:color="auto" w:sz="4" w:space="0"/>
              <w:bottom w:val="single" w:color="auto" w:sz="4" w:space="0"/>
              <w:right w:val="single" w:color="auto" w:sz="4" w:space="0"/>
            </w:tcBorders>
          </w:tcPr>
          <w:p w14:paraId="784DE506">
            <w:pPr>
              <w:spacing w:before="31" w:beforeLines="10" w:after="31" w:afterLines="10" w:line="360" w:lineRule="auto"/>
              <w:ind w:firstLine="120" w:firstLineChars="50"/>
              <w:jc w:val="center"/>
              <w:rPr>
                <w:rFonts w:hint="eastAsia" w:cs="宋体" w:asciiTheme="minorEastAsia" w:hAnsiTheme="minorEastAsia"/>
                <w:kern w:val="0"/>
                <w:sz w:val="24"/>
                <w:szCs w:val="24"/>
              </w:rPr>
            </w:pPr>
          </w:p>
        </w:tc>
        <w:tc>
          <w:tcPr>
            <w:tcW w:w="1261" w:type="dxa"/>
            <w:tcBorders>
              <w:top w:val="single" w:color="auto" w:sz="4" w:space="0"/>
              <w:left w:val="single" w:color="auto" w:sz="4" w:space="0"/>
              <w:bottom w:val="single" w:color="auto" w:sz="4" w:space="0"/>
              <w:right w:val="single" w:color="auto" w:sz="4" w:space="0"/>
            </w:tcBorders>
          </w:tcPr>
          <w:p w14:paraId="5F581FFF">
            <w:pPr>
              <w:spacing w:before="31" w:beforeLines="10" w:after="31" w:afterLines="10" w:line="360" w:lineRule="auto"/>
              <w:jc w:val="center"/>
              <w:rPr>
                <w:rFonts w:hint="eastAsia" w:cs="宋体" w:asciiTheme="minorEastAsia" w:hAnsiTheme="minorEastAsia"/>
                <w:kern w:val="0"/>
                <w:sz w:val="24"/>
                <w:szCs w:val="24"/>
              </w:rPr>
            </w:pPr>
          </w:p>
        </w:tc>
        <w:tc>
          <w:tcPr>
            <w:tcW w:w="1098" w:type="dxa"/>
            <w:tcBorders>
              <w:top w:val="single" w:color="auto" w:sz="4" w:space="0"/>
              <w:left w:val="single" w:color="auto" w:sz="4" w:space="0"/>
              <w:bottom w:val="single" w:color="auto" w:sz="4" w:space="0"/>
              <w:right w:val="single" w:color="auto" w:sz="4" w:space="0"/>
            </w:tcBorders>
          </w:tcPr>
          <w:p w14:paraId="52D06D8D">
            <w:pPr>
              <w:spacing w:before="31" w:beforeLines="10" w:after="31" w:afterLines="10" w:line="360" w:lineRule="auto"/>
              <w:jc w:val="center"/>
              <w:rPr>
                <w:rFonts w:hint="eastAsia" w:cs="宋体" w:asciiTheme="minorEastAsia" w:hAnsiTheme="minorEastAsia"/>
                <w:kern w:val="0"/>
                <w:sz w:val="24"/>
                <w:szCs w:val="24"/>
              </w:rPr>
            </w:pPr>
          </w:p>
        </w:tc>
      </w:tr>
      <w:tr w14:paraId="36C1338C">
        <w:tblPrEx>
          <w:tblCellMar>
            <w:top w:w="0" w:type="dxa"/>
            <w:left w:w="108" w:type="dxa"/>
            <w:bottom w:w="0" w:type="dxa"/>
            <w:right w:w="108" w:type="dxa"/>
          </w:tblCellMar>
        </w:tblPrEx>
        <w:trPr>
          <w:trHeight w:val="478" w:hRule="atLeast"/>
        </w:trPr>
        <w:tc>
          <w:tcPr>
            <w:tcW w:w="9747" w:type="dxa"/>
            <w:gridSpan w:val="9"/>
            <w:tcBorders>
              <w:top w:val="single" w:color="auto" w:sz="4" w:space="0"/>
              <w:left w:val="single" w:color="auto" w:sz="4" w:space="0"/>
              <w:bottom w:val="single" w:color="auto" w:sz="4" w:space="0"/>
              <w:right w:val="single" w:color="auto" w:sz="4" w:space="0"/>
            </w:tcBorders>
          </w:tcPr>
          <w:p w14:paraId="3AC51B9D">
            <w:pPr>
              <w:widowControl/>
              <w:jc w:val="left"/>
            </w:pPr>
            <w:r>
              <w:rPr>
                <w:rFonts w:hint="eastAsia" w:cs="宋体" w:asciiTheme="minorEastAsia" w:hAnsiTheme="minorEastAsia"/>
                <w:kern w:val="0"/>
                <w:sz w:val="24"/>
                <w:szCs w:val="24"/>
              </w:rPr>
              <w:t>合同总价（人民币）：（小写）：     （大写）：</w:t>
            </w:r>
          </w:p>
        </w:tc>
      </w:tr>
    </w:tbl>
    <w:p w14:paraId="2CE34FB6">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备注：合同总价包含货物的价款和包装、运输、保险、安装、调试、检测、验收、技术指导、培训、咨询、售后服务等产生的相关费用以及13%增值税税费。</w:t>
      </w:r>
    </w:p>
    <w:p w14:paraId="2775C865">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设备技术要求</w:t>
      </w:r>
    </w:p>
    <w:p w14:paraId="6C9584E9">
      <w:pPr>
        <w:spacing w:before="31" w:beforeLines="10" w:after="31" w:afterLines="10" w:line="360" w:lineRule="auto"/>
        <w:ind w:firstLine="480" w:firstLineChars="200"/>
        <w:rPr>
          <w:rFonts w:hint="eastAsia" w:cs="宋体" w:asciiTheme="minorEastAsia" w:hAnsiTheme="minorEastAsia"/>
          <w:kern w:val="0"/>
          <w:sz w:val="24"/>
          <w:szCs w:val="24"/>
        </w:rPr>
      </w:pPr>
      <w:r>
        <w:rPr>
          <w:rFonts w:hint="eastAsia" w:cs="宋体" w:asciiTheme="minorEastAsia" w:hAnsiTheme="minorEastAsia"/>
          <w:kern w:val="0"/>
          <w:sz w:val="24"/>
          <w:szCs w:val="24"/>
        </w:rPr>
        <w:t>具体要求见双方签署的设备技术协议。设备技术协议是本合同的重要组成部分，与本合同有同等法律效力。</w:t>
      </w:r>
    </w:p>
    <w:p w14:paraId="3F18BDA7">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包装与运输</w:t>
      </w:r>
    </w:p>
    <w:p w14:paraId="333095CC">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3.1包装</w:t>
      </w:r>
    </w:p>
    <w:p w14:paraId="69EF7CB0">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3.1.1按厂家出厂标准或国家相关技术标准，包装由乙方负责，应完好无损，并在外包装上标识制造批号、名称、材质、型号、规格、颜色、数量等，包装物应适应运输和装卸要求，符合防潮、防震、防尘要求。</w:t>
      </w:r>
    </w:p>
    <w:p w14:paraId="238F5404">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3.1.2甲方对包装的特殊要求：无。</w:t>
      </w:r>
    </w:p>
    <w:p w14:paraId="4C96DC64">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3.2运输：乙方负责在规定的交货时间内以合理的运输方式送货到交付地点，运费由乙方承担。乙方应确保产品运输安全，乙方承担运输过程中货物损毁、灭失的风险和责任。</w:t>
      </w:r>
    </w:p>
    <w:p w14:paraId="5291D858">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风险承担</w:t>
      </w:r>
    </w:p>
    <w:p w14:paraId="40259703">
      <w:pPr>
        <w:spacing w:before="31" w:beforeLines="10" w:after="31" w:afterLines="10" w:line="360" w:lineRule="auto"/>
        <w:ind w:firstLine="480" w:firstLineChars="200"/>
        <w:rPr>
          <w:rFonts w:hint="eastAsia" w:cs="宋体" w:asciiTheme="minorEastAsia" w:hAnsiTheme="minorEastAsia"/>
          <w:kern w:val="0"/>
          <w:sz w:val="24"/>
          <w:szCs w:val="24"/>
        </w:rPr>
      </w:pPr>
      <w:r>
        <w:rPr>
          <w:rFonts w:hint="eastAsia" w:cs="宋体" w:asciiTheme="minorEastAsia" w:hAnsiTheme="minorEastAsia"/>
          <w:kern w:val="0"/>
          <w:sz w:val="24"/>
          <w:szCs w:val="24"/>
        </w:rPr>
        <w:t>乙方承担货物运至甲方指定交付地点前的风险和损失责任。</w:t>
      </w:r>
    </w:p>
    <w:p w14:paraId="7D1F2F45">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货物交付</w:t>
      </w:r>
    </w:p>
    <w:p w14:paraId="30655A76">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5.1货物交付地点：北京市怀柔区杨雁路与京密北四街交叉口国联汽车动力</w:t>
      </w:r>
      <w:r>
        <w:rPr>
          <w:rFonts w:hint="eastAsia" w:cs="宋体" w:asciiTheme="minorEastAsia" w:hAnsiTheme="minorEastAsia"/>
          <w:kern w:val="0"/>
          <w:sz w:val="24"/>
          <w:szCs w:val="24"/>
          <w:lang w:val="en-US" w:eastAsia="zh-CN"/>
        </w:rPr>
        <w:t>电池</w:t>
      </w:r>
      <w:r>
        <w:rPr>
          <w:rFonts w:hint="eastAsia" w:cs="宋体" w:asciiTheme="minorEastAsia" w:hAnsiTheme="minorEastAsia"/>
          <w:kern w:val="0"/>
          <w:sz w:val="24"/>
          <w:szCs w:val="24"/>
        </w:rPr>
        <w:t>研究院有限责任公司</w:t>
      </w:r>
    </w:p>
    <w:p w14:paraId="3B4C2607">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联系人：</w:t>
      </w:r>
      <w:r>
        <w:rPr>
          <w:rFonts w:hint="eastAsia" w:cs="宋体" w:asciiTheme="minorEastAsia" w:hAnsiTheme="minorEastAsia"/>
          <w:kern w:val="0"/>
          <w:sz w:val="24"/>
          <w:szCs w:val="24"/>
          <w:lang w:val="en-US" w:eastAsia="zh-CN"/>
        </w:rPr>
        <w:t>史冬</w:t>
      </w: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lang w:val="en-US" w:eastAsia="zh-CN"/>
        </w:rPr>
        <w:t>18610947939</w:t>
      </w:r>
      <w:r>
        <w:rPr>
          <w:rFonts w:hint="eastAsia" w:cs="宋体" w:asciiTheme="minorEastAsia" w:hAnsiTheme="minorEastAsia"/>
          <w:kern w:val="0"/>
          <w:sz w:val="24"/>
          <w:szCs w:val="24"/>
        </w:rPr>
        <w:t>。</w:t>
      </w:r>
    </w:p>
    <w:p w14:paraId="735BA71E">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5.2货物交付时间：自合同签订后90个工作日内。</w:t>
      </w:r>
    </w:p>
    <w:p w14:paraId="1E271C2B">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5.3相关单证和资料：乙方须随货物向甲方提交包括但不限于产品合格证、装运单、货物清单、检验、安装、调试、验收、性能验收试验和技术指导等文件（图纸、各种文字说明、标准、各种软件等）。</w:t>
      </w:r>
    </w:p>
    <w:p w14:paraId="5D70513F">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5.4货物交接：设备运抵，甲方以乙方提供的装运单、货物清单为依据，复核箱数及货物印刷名称和箱外观完整性，核对设备名称、数量、运输中的完好程度，清收、核对无误后双方签署货物交接文件。到货如发现运输中设备短缺或受损严重，乙方在接到甲方相关通知后小时内到达现场，在甲方协助下尽快处理。</w:t>
      </w:r>
    </w:p>
    <w:p w14:paraId="38E9BD7F">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货款结算及开票方式、期限：</w:t>
      </w:r>
    </w:p>
    <w:p w14:paraId="7A178248">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6.1货款结算</w:t>
      </w:r>
    </w:p>
    <w:p w14:paraId="72EDF97E">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分期付款</w:t>
      </w:r>
    </w:p>
    <w:tbl>
      <w:tblPr>
        <w:tblStyle w:val="7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6"/>
        <w:gridCol w:w="1701"/>
        <w:gridCol w:w="5670"/>
      </w:tblGrid>
      <w:tr w14:paraId="7013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242" w:type="dxa"/>
            <w:vAlign w:val="center"/>
          </w:tcPr>
          <w:p w14:paraId="2E8941FF">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eastAsia="en-US" w:bidi="en-US"/>
              </w:rPr>
              <w:t>付款批次</w:t>
            </w:r>
          </w:p>
        </w:tc>
        <w:tc>
          <w:tcPr>
            <w:tcW w:w="1276" w:type="dxa"/>
            <w:vAlign w:val="center"/>
          </w:tcPr>
          <w:p w14:paraId="62B5AAC7">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eastAsia="en-US" w:bidi="en-US"/>
              </w:rPr>
              <w:t>付款比例</w:t>
            </w:r>
          </w:p>
        </w:tc>
        <w:tc>
          <w:tcPr>
            <w:tcW w:w="1701" w:type="dxa"/>
            <w:vAlign w:val="center"/>
          </w:tcPr>
          <w:p w14:paraId="6E6577A5">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eastAsia="en-US" w:bidi="en-US"/>
              </w:rPr>
              <w:t>付款金额（元）</w:t>
            </w:r>
          </w:p>
        </w:tc>
        <w:tc>
          <w:tcPr>
            <w:tcW w:w="5670" w:type="dxa"/>
            <w:vAlign w:val="center"/>
          </w:tcPr>
          <w:p w14:paraId="45ABEF99">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eastAsia="en-US" w:bidi="en-US"/>
              </w:rPr>
              <w:t>付款条件</w:t>
            </w:r>
          </w:p>
        </w:tc>
      </w:tr>
      <w:tr w14:paraId="3D6B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2" w:type="dxa"/>
            <w:vAlign w:val="center"/>
          </w:tcPr>
          <w:p w14:paraId="3D179BE3">
            <w:pPr>
              <w:pStyle w:val="145"/>
              <w:spacing w:before="31" w:beforeLines="10" w:after="31" w:afterLines="10" w:line="360" w:lineRule="auto"/>
              <w:ind w:left="360"/>
              <w:rPr>
                <w:rFonts w:hint="eastAsia" w:cs="宋体" w:asciiTheme="minorEastAsia" w:hAnsiTheme="minorEastAsia"/>
                <w:lang w:eastAsia="zh-CN" w:bidi="ar-SA"/>
              </w:rPr>
            </w:pPr>
            <w:r>
              <w:rPr>
                <w:rFonts w:hint="eastAsia" w:cs="宋体" w:asciiTheme="minorEastAsia" w:hAnsiTheme="minorEastAsia"/>
                <w:lang w:eastAsia="zh-CN" w:bidi="ar-SA"/>
              </w:rPr>
              <w:t>1</w:t>
            </w:r>
          </w:p>
        </w:tc>
        <w:tc>
          <w:tcPr>
            <w:tcW w:w="1276" w:type="dxa"/>
            <w:vAlign w:val="center"/>
          </w:tcPr>
          <w:p w14:paraId="4DC42835">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val="en-US" w:eastAsia="zh-CN" w:bidi="en-US"/>
              </w:rPr>
              <w:t>6</w:t>
            </w:r>
            <w:r>
              <w:rPr>
                <w:rFonts w:hint="eastAsia" w:cs="宋体" w:asciiTheme="minorEastAsia" w:hAnsiTheme="minorEastAsia"/>
                <w:kern w:val="0"/>
                <w:sz w:val="24"/>
                <w:szCs w:val="24"/>
                <w:lang w:eastAsia="en-US" w:bidi="en-US"/>
              </w:rPr>
              <w:t>0%</w:t>
            </w:r>
          </w:p>
        </w:tc>
        <w:tc>
          <w:tcPr>
            <w:tcW w:w="1701" w:type="dxa"/>
            <w:vAlign w:val="center"/>
          </w:tcPr>
          <w:p w14:paraId="794763CC">
            <w:pPr>
              <w:spacing w:before="31" w:beforeLines="10" w:after="31" w:afterLines="10" w:line="360" w:lineRule="auto"/>
              <w:jc w:val="center"/>
              <w:rPr>
                <w:rFonts w:hint="eastAsia" w:cs="宋体" w:asciiTheme="minorEastAsia" w:hAnsiTheme="minorEastAsia"/>
                <w:kern w:val="0"/>
                <w:sz w:val="24"/>
                <w:szCs w:val="24"/>
                <w:lang w:eastAsia="en-US" w:bidi="en-US"/>
              </w:rPr>
            </w:pPr>
          </w:p>
        </w:tc>
        <w:tc>
          <w:tcPr>
            <w:tcW w:w="5670" w:type="dxa"/>
            <w:vAlign w:val="center"/>
          </w:tcPr>
          <w:p w14:paraId="42CC948D">
            <w:pPr>
              <w:spacing w:before="31" w:beforeLines="10" w:after="31" w:afterLines="10" w:line="360" w:lineRule="auto"/>
              <w:jc w:val="center"/>
              <w:rPr>
                <w:rFonts w:hint="eastAsia" w:cs="宋体" w:asciiTheme="minorEastAsia" w:hAnsiTheme="minorEastAsia"/>
                <w:kern w:val="0"/>
                <w:sz w:val="24"/>
                <w:szCs w:val="24"/>
                <w:lang w:eastAsia="zh-CN" w:bidi="en-US"/>
              </w:rPr>
            </w:pPr>
            <w:r>
              <w:rPr>
                <w:rFonts w:hint="eastAsia" w:cs="宋体" w:asciiTheme="minorEastAsia" w:hAnsiTheme="minorEastAsia"/>
                <w:kern w:val="0"/>
                <w:sz w:val="24"/>
                <w:szCs w:val="24"/>
                <w:lang w:eastAsia="zh-CN" w:bidi="en-US"/>
              </w:rPr>
              <w:t>签订合同后5-10个工作日内</w:t>
            </w:r>
          </w:p>
        </w:tc>
      </w:tr>
      <w:tr w14:paraId="5E7C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2" w:type="dxa"/>
            <w:vAlign w:val="center"/>
          </w:tcPr>
          <w:p w14:paraId="69C15827">
            <w:pPr>
              <w:pStyle w:val="145"/>
              <w:spacing w:before="31" w:beforeLines="10" w:after="31" w:afterLines="10" w:line="360" w:lineRule="auto"/>
              <w:ind w:left="360"/>
              <w:rPr>
                <w:rFonts w:hint="eastAsia" w:cs="宋体" w:asciiTheme="minorEastAsia" w:hAnsiTheme="minorEastAsia"/>
                <w:lang w:eastAsia="zh-CN" w:bidi="ar-SA"/>
              </w:rPr>
            </w:pPr>
            <w:r>
              <w:rPr>
                <w:rFonts w:hint="eastAsia" w:cs="宋体" w:asciiTheme="minorEastAsia" w:hAnsiTheme="minorEastAsia"/>
                <w:lang w:eastAsia="zh-CN" w:bidi="ar-SA"/>
              </w:rPr>
              <w:t>2</w:t>
            </w:r>
          </w:p>
        </w:tc>
        <w:tc>
          <w:tcPr>
            <w:tcW w:w="1276" w:type="dxa"/>
            <w:vAlign w:val="center"/>
          </w:tcPr>
          <w:p w14:paraId="395FD278">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val="en-US" w:eastAsia="zh-CN" w:bidi="en-US"/>
              </w:rPr>
              <w:t>3</w:t>
            </w:r>
            <w:r>
              <w:rPr>
                <w:rFonts w:hint="eastAsia" w:cs="宋体" w:asciiTheme="minorEastAsia" w:hAnsiTheme="minorEastAsia"/>
                <w:kern w:val="0"/>
                <w:sz w:val="24"/>
                <w:szCs w:val="24"/>
                <w:lang w:eastAsia="en-US" w:bidi="en-US"/>
              </w:rPr>
              <w:t>0%</w:t>
            </w:r>
          </w:p>
        </w:tc>
        <w:tc>
          <w:tcPr>
            <w:tcW w:w="1701" w:type="dxa"/>
            <w:vAlign w:val="center"/>
          </w:tcPr>
          <w:p w14:paraId="2C1A1A90">
            <w:pPr>
              <w:spacing w:before="31" w:beforeLines="10" w:after="31" w:afterLines="10" w:line="360" w:lineRule="auto"/>
              <w:jc w:val="center"/>
              <w:rPr>
                <w:rFonts w:hint="eastAsia" w:cs="宋体" w:asciiTheme="minorEastAsia" w:hAnsiTheme="minorEastAsia"/>
                <w:kern w:val="0"/>
                <w:sz w:val="24"/>
                <w:szCs w:val="24"/>
                <w:lang w:eastAsia="en-US" w:bidi="en-US"/>
              </w:rPr>
            </w:pPr>
          </w:p>
        </w:tc>
        <w:tc>
          <w:tcPr>
            <w:tcW w:w="5670" w:type="dxa"/>
            <w:vAlign w:val="center"/>
          </w:tcPr>
          <w:p w14:paraId="0079DF68">
            <w:pPr>
              <w:spacing w:before="31" w:beforeLines="10" w:after="31" w:afterLines="10" w:line="360" w:lineRule="auto"/>
              <w:jc w:val="center"/>
              <w:rPr>
                <w:rFonts w:hint="eastAsia" w:cs="宋体" w:asciiTheme="minorEastAsia" w:hAnsiTheme="minorEastAsia"/>
                <w:kern w:val="0"/>
                <w:sz w:val="24"/>
                <w:szCs w:val="24"/>
                <w:lang w:eastAsia="zh-CN" w:bidi="en-US"/>
              </w:rPr>
            </w:pPr>
            <w:r>
              <w:rPr>
                <w:rFonts w:hint="eastAsia" w:cs="宋体" w:asciiTheme="minorEastAsia" w:hAnsiTheme="minorEastAsia"/>
                <w:kern w:val="0"/>
                <w:sz w:val="24"/>
                <w:szCs w:val="24"/>
                <w:lang w:eastAsia="zh-CN" w:bidi="en-US"/>
              </w:rPr>
              <w:t>预验收合格，判定可以发货后</w:t>
            </w:r>
            <w:r>
              <w:rPr>
                <w:rFonts w:hint="eastAsia" w:ascii="宋体" w:hAnsi="宋体" w:cs="宋体"/>
                <w:kern w:val="0"/>
                <w:sz w:val="24"/>
                <w:szCs w:val="24"/>
                <w:lang w:eastAsia="zh-CN" w:bidi="en-US"/>
              </w:rPr>
              <w:t>5-10个工作日内</w:t>
            </w:r>
          </w:p>
        </w:tc>
      </w:tr>
      <w:tr w14:paraId="6FE9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2" w:type="dxa"/>
            <w:vAlign w:val="center"/>
          </w:tcPr>
          <w:p w14:paraId="615B3396">
            <w:pPr>
              <w:pStyle w:val="145"/>
              <w:spacing w:before="31" w:beforeLines="10" w:after="31" w:afterLines="10" w:line="360" w:lineRule="auto"/>
              <w:ind w:left="360"/>
              <w:rPr>
                <w:rFonts w:hint="eastAsia" w:cs="宋体" w:asciiTheme="minorEastAsia" w:hAnsiTheme="minorEastAsia"/>
                <w:lang w:eastAsia="zh-CN" w:bidi="ar-SA"/>
              </w:rPr>
            </w:pPr>
            <w:r>
              <w:rPr>
                <w:rFonts w:hint="eastAsia" w:cs="宋体" w:asciiTheme="minorEastAsia" w:hAnsiTheme="minorEastAsia"/>
                <w:lang w:eastAsia="zh-CN" w:bidi="ar-SA"/>
              </w:rPr>
              <w:t>3</w:t>
            </w:r>
          </w:p>
        </w:tc>
        <w:tc>
          <w:tcPr>
            <w:tcW w:w="1276" w:type="dxa"/>
            <w:vAlign w:val="center"/>
          </w:tcPr>
          <w:p w14:paraId="02D6FDCD">
            <w:pPr>
              <w:spacing w:before="31" w:beforeLines="10" w:after="31" w:afterLines="10" w:line="360" w:lineRule="auto"/>
              <w:jc w:val="center"/>
              <w:rPr>
                <w:rFonts w:hint="eastAsia" w:cs="宋体" w:asciiTheme="minorEastAsia" w:hAnsiTheme="minorEastAsia"/>
                <w:kern w:val="0"/>
                <w:sz w:val="24"/>
                <w:szCs w:val="24"/>
                <w:lang w:eastAsia="en-US" w:bidi="en-US"/>
              </w:rPr>
            </w:pPr>
            <w:r>
              <w:rPr>
                <w:rFonts w:hint="eastAsia" w:cs="宋体" w:asciiTheme="minorEastAsia" w:hAnsiTheme="minorEastAsia"/>
                <w:kern w:val="0"/>
                <w:sz w:val="24"/>
                <w:szCs w:val="24"/>
                <w:lang w:eastAsia="en-US" w:bidi="en-US"/>
              </w:rPr>
              <w:t>10%</w:t>
            </w:r>
          </w:p>
        </w:tc>
        <w:tc>
          <w:tcPr>
            <w:tcW w:w="1701" w:type="dxa"/>
            <w:vAlign w:val="center"/>
          </w:tcPr>
          <w:p w14:paraId="0CD36210">
            <w:pPr>
              <w:spacing w:before="31" w:beforeLines="10" w:after="31" w:afterLines="10" w:line="360" w:lineRule="auto"/>
              <w:jc w:val="center"/>
              <w:rPr>
                <w:rFonts w:hint="eastAsia" w:cs="宋体" w:asciiTheme="minorEastAsia" w:hAnsiTheme="minorEastAsia"/>
                <w:kern w:val="0"/>
                <w:sz w:val="24"/>
                <w:szCs w:val="24"/>
                <w:lang w:eastAsia="en-US" w:bidi="en-US"/>
              </w:rPr>
            </w:pPr>
          </w:p>
        </w:tc>
        <w:tc>
          <w:tcPr>
            <w:tcW w:w="5670" w:type="dxa"/>
            <w:vAlign w:val="center"/>
          </w:tcPr>
          <w:p w14:paraId="2465C952">
            <w:pPr>
              <w:spacing w:before="31" w:beforeLines="10" w:after="31" w:afterLines="10" w:line="360" w:lineRule="auto"/>
              <w:jc w:val="center"/>
              <w:rPr>
                <w:rFonts w:hint="eastAsia" w:cs="宋体" w:asciiTheme="minorEastAsia" w:hAnsiTheme="minorEastAsia"/>
                <w:kern w:val="0"/>
                <w:sz w:val="24"/>
                <w:szCs w:val="24"/>
                <w:lang w:eastAsia="zh-CN" w:bidi="en-US"/>
              </w:rPr>
            </w:pPr>
            <w:r>
              <w:rPr>
                <w:rFonts w:hint="eastAsia" w:cs="宋体" w:asciiTheme="minorEastAsia" w:hAnsiTheme="minorEastAsia"/>
                <w:kern w:val="0"/>
                <w:sz w:val="24"/>
                <w:szCs w:val="24"/>
                <w:lang w:eastAsia="zh-CN" w:bidi="en-US"/>
              </w:rPr>
              <w:t>验收合格，收到全额发票后</w:t>
            </w:r>
            <w:r>
              <w:rPr>
                <w:rFonts w:hint="eastAsia" w:ascii="宋体" w:hAnsi="宋体" w:cs="宋体"/>
                <w:kern w:val="0"/>
                <w:sz w:val="24"/>
                <w:szCs w:val="24"/>
                <w:lang w:eastAsia="zh-CN" w:bidi="en-US"/>
              </w:rPr>
              <w:t>5-10个工作日内</w:t>
            </w:r>
          </w:p>
        </w:tc>
      </w:tr>
    </w:tbl>
    <w:p w14:paraId="5D91AC27">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6.2开票方式及期限：验收合格后5个工作日内，乙方开具合同全额发票（税率为13%的增值税专用发票）</w:t>
      </w:r>
    </w:p>
    <w:p w14:paraId="388632F4">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质量及知识产权保证</w:t>
      </w:r>
    </w:p>
    <w:p w14:paraId="0F5D8BDE">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7.1乙方应保证所供货物及零部件是全新的、未使用过的和用先进工艺生产的并完全符合合同规定的质量、规格和性能要求。乙方应保证其设备在正确安装、正常运转和保养条件下，在其使用期内应具有满意的性能。</w:t>
      </w:r>
    </w:p>
    <w:p w14:paraId="12CB733B">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7.2根据有关部门的检验结果或在质量保证期内，如果设备的数量、质量、规格与合同不符，或证实设备是有缺陷的，包括潜在的缺陷或使用了不符合要求的材料等，甲方可以书面形式向乙方提出本保证下的索赔。</w:t>
      </w:r>
    </w:p>
    <w:p w14:paraId="22105F06">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7.3乙方出售给甲方之本合同所述货物，若有侵害他人著作权、商标权、专利权等知识产权时，应由乙方自行负责，与甲方无关。如因此给甲方造成损失，乙方除负责排除并承担诉讼责任并支付相关费用外，仍应赔偿甲方损失。</w:t>
      </w:r>
    </w:p>
    <w:p w14:paraId="691A32AF">
      <w:pPr>
        <w:pStyle w:val="145"/>
        <w:numPr>
          <w:ilvl w:val="0"/>
          <w:numId w:val="3"/>
        </w:numPr>
        <w:spacing w:before="31" w:beforeLines="10" w:after="31" w:afterLines="10" w:line="360" w:lineRule="auto"/>
        <w:rPr>
          <w:rFonts w:hint="eastAsia" w:cs="宋体" w:asciiTheme="minorEastAsia" w:hAnsiTheme="minorEastAsia"/>
          <w:b/>
          <w:bCs/>
          <w:lang w:eastAsia="zh-CN" w:bidi="ar-SA"/>
        </w:rPr>
      </w:pPr>
      <w:r>
        <w:rPr>
          <w:rFonts w:hint="eastAsia" w:cs="宋体" w:asciiTheme="minorEastAsia" w:hAnsiTheme="minorEastAsia"/>
          <w:b/>
          <w:bCs/>
          <w:lang w:eastAsia="zh-CN" w:bidi="ar-SA"/>
        </w:rPr>
        <w:t>安装调试及培训服务</w:t>
      </w:r>
    </w:p>
    <w:p w14:paraId="2D1744AF">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8.1合同设备到达甲方现场后，乙方根据甲方要求进行安装调试。</w:t>
      </w:r>
    </w:p>
    <w:p w14:paraId="70B2B0A2">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8.2乙方安装调试人员必须在具备安装条件时按照甲方通知时间提前到达甲方指定地点，并做出详细设备安装及调试计划，经双方签字确认后开始合同设备安装及调试。</w:t>
      </w:r>
    </w:p>
    <w:p w14:paraId="122F267F">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8.3安装由乙方完成，甲方派员协助。乙方现场人员须遵守甲方的规章制度，并采取严格的安全防护措施，由于乙方自身安全措施不力而造成的事故，其责任和由此产生的有关费用由乙方承担。安装调试期间乙方技术人员的食宿由乙方（甲方\乙方）提供。</w:t>
      </w:r>
    </w:p>
    <w:p w14:paraId="35E4A27D">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8.4在设备就位、安装、调试过程中损坏的元器件，由乙方负责免费更换。</w:t>
      </w:r>
    </w:p>
    <w:p w14:paraId="1F3A72C6">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8.5在安装过程及调试生产运行中，由乙方向甲方相关人员传授设备的操作规范、使用注意事项和维修知识，保证甲方有关人员能正确独立操作。</w:t>
      </w:r>
    </w:p>
    <w:p w14:paraId="2051D5D9">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8.6乙方为甲方提供书面的培训手册。</w:t>
      </w:r>
    </w:p>
    <w:p w14:paraId="7E8596FB">
      <w:pPr>
        <w:spacing w:before="31" w:beforeLines="10" w:after="31" w:afterLines="10" w:line="360" w:lineRule="auto"/>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第九条 验收方法及质量异议期限</w:t>
      </w:r>
    </w:p>
    <w:p w14:paraId="65FE2161">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9.1甲方有权检验和测试设备，确认设</w:t>
      </w:r>
      <w:r>
        <w:rPr>
          <w:rFonts w:hint="eastAsia" w:cs="宋体" w:asciiTheme="minorEastAsia" w:hAnsiTheme="minorEastAsia"/>
          <w:kern w:val="0"/>
          <w:sz w:val="24"/>
          <w:szCs w:val="24"/>
          <w:lang w:val="en-US" w:eastAsia="zh-CN"/>
        </w:rPr>
        <w:t>备</w:t>
      </w:r>
      <w:r>
        <w:rPr>
          <w:rFonts w:hint="eastAsia" w:cs="宋体" w:asciiTheme="minorEastAsia" w:hAnsiTheme="minorEastAsia"/>
          <w:kern w:val="0"/>
          <w:sz w:val="24"/>
          <w:szCs w:val="24"/>
        </w:rPr>
        <w:t>是否符合技术协议的要求，预验收甲方的差旅费用自行承担，检验和测试设备在制造厂或者设备使用现场进行，在设备制造厂进行的检验和测试即为预验收，甲方指派的检测人员应能得到全部合理的设施和协助。</w:t>
      </w:r>
    </w:p>
    <w:p w14:paraId="61536C5D">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9.2在合同签订后的30天内乙方向甲方提交1份更为详细的验收方案（包括：负责人和技术人员名单、验收指标、验收方法、所有测试设备等），经甲方确认后作为验收细则的文件。</w:t>
      </w:r>
    </w:p>
    <w:p w14:paraId="58711BBA">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9.3预验收程序：设备在卖方工厂调试完毕后进行检验，确认设备功能</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并由乙方提供设备的出厂检验报告。</w:t>
      </w:r>
    </w:p>
    <w:p w14:paraId="064196A6">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9.4在预验收过程中，如果任何被检测的设备不能满足合同技术规格的要求，甲方可以拒绝接受设备，乙方应确认设备问题并对设备进行修改或调整直至满足技术协议要求。</w:t>
      </w:r>
    </w:p>
    <w:p w14:paraId="1D3D1D3F">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9.5设备预验收完成后，在指定的时间到达甲方现场，应由甲方组织人员进行开箱验货，乙方须派检查人员到达现场参加检验工作，如发现设备有任何损坏、缺陷、短少或者不符合本协议文件规定的问题，双方应作详细记录并签字确认。</w:t>
      </w:r>
    </w:p>
    <w:p w14:paraId="4C97C38A">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9.6如双方依然对货物质量、规格发生意见分歧，甲方有权委托中国的国家商检机构对货物进行复检，商检机构出具的检测报告即为甲方向乙方提出的修理、补齐、更换和索赔的有效证据。如果乙方货物确实存在质量问题，在乙方收到检测报价和所有直接花费清单并且同意的情况下，乙方除承担上述条款所规定直接花费，还需承担货物检测费用。</w:t>
      </w:r>
    </w:p>
    <w:p w14:paraId="7535742C">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9.7在进行安装及调试阶段，乙方必须参加设备现场安装以及调试服务并承担全部的费用，乙方必须派遣称职的技术人员自带专用工具到甲方现场进行设备安装和调试等工作，并有责任解答甲方提出的相关问题。设备必须在到货后的一个月内安装调试完毕。</w:t>
      </w:r>
    </w:p>
    <w:p w14:paraId="1EB6C388">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9.8乙方应对安装和调试工作进行详细的记录，安装和调试工</w:t>
      </w:r>
      <w:r>
        <w:rPr>
          <w:rFonts w:hint="eastAsia" w:cs="宋体" w:asciiTheme="minorEastAsia" w:hAnsiTheme="minorEastAsia"/>
          <w:kern w:val="0"/>
          <w:sz w:val="24"/>
          <w:szCs w:val="24"/>
          <w:lang w:val="en-US" w:eastAsia="zh-CN"/>
        </w:rPr>
        <w:t>作</w:t>
      </w:r>
      <w:r>
        <w:rPr>
          <w:rFonts w:hint="eastAsia" w:cs="宋体" w:asciiTheme="minorEastAsia" w:hAnsiTheme="minorEastAsia"/>
          <w:kern w:val="0"/>
          <w:sz w:val="24"/>
          <w:szCs w:val="24"/>
        </w:rPr>
        <w:t>结束后，由乙方在记录文件上签字交甲方备案。</w:t>
      </w:r>
    </w:p>
    <w:p w14:paraId="64780282">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9.9终验收应按照本合同、技术协议等作为标准进行验收。</w:t>
      </w:r>
    </w:p>
    <w:p w14:paraId="6B0527B7">
      <w:pPr>
        <w:numPr>
          <w:ilvl w:val="255"/>
          <w:numId w:val="0"/>
        </w:numPr>
        <w:adjustRightInd w:val="0"/>
        <w:spacing w:before="31" w:beforeLines="10" w:after="31" w:afterLines="10" w:line="360" w:lineRule="auto"/>
        <w:textAlignment w:val="baseline"/>
        <w:rPr>
          <w:rFonts w:hint="eastAsia" w:cs="宋体" w:asciiTheme="minorEastAsia" w:hAnsiTheme="minorEastAsia"/>
          <w:kern w:val="0"/>
          <w:sz w:val="24"/>
          <w:szCs w:val="24"/>
        </w:rPr>
      </w:pPr>
      <w:r>
        <w:rPr>
          <w:rFonts w:hint="eastAsia" w:cs="宋体" w:asciiTheme="minorEastAsia" w:hAnsiTheme="minorEastAsia"/>
          <w:kern w:val="0"/>
          <w:sz w:val="24"/>
          <w:szCs w:val="24"/>
        </w:rPr>
        <w:t>9.10终验收在双方均在场的情况下按照技术协议或者经过双方确认的验收细则逐台逐项进行验收合格后，由双方签署验收报告，验收完毕方可交甲方正式使用</w:t>
      </w:r>
    </w:p>
    <w:p w14:paraId="641A0453">
      <w:pPr>
        <w:numPr>
          <w:ilvl w:val="255"/>
          <w:numId w:val="0"/>
        </w:numPr>
        <w:adjustRightInd w:val="0"/>
        <w:spacing w:before="31" w:beforeLines="10" w:after="31" w:afterLines="10" w:line="360" w:lineRule="auto"/>
        <w:textAlignment w:val="baseline"/>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第十条 售后服务保障</w:t>
      </w:r>
    </w:p>
    <w:p w14:paraId="5524C183">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10.1本设备自最终验收合格之日起计算，乙方提供的免费质保周期为  一  年，质保期后甲方可选择根据双方认可的收费标准另行购买乙方的质保服务。</w:t>
      </w:r>
    </w:p>
    <w:p w14:paraId="7E20A4DD">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10.2乙方应提供及时优良的售后服务，确保整套设备的正常使用。</w:t>
      </w:r>
    </w:p>
    <w:p w14:paraId="4561B02A">
      <w:pPr>
        <w:tabs>
          <w:tab w:val="left" w:pos="1230"/>
          <w:tab w:val="left" w:pos="9983"/>
        </w:tabs>
        <w:adjustRightInd w:val="0"/>
        <w:snapToGrid w:val="0"/>
        <w:spacing w:line="360" w:lineRule="auto"/>
        <w:ind w:firstLine="480" w:firstLineChars="200"/>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10.2.1质保期内，由于设计、制造质量和安装等原因，设备发生故障或局部损坏时，乙方接到甲方电话或传真通知24小时内给予答复；如有必要，乙方应甲方需求在48小时内赶到设备所在地解决问题，免费负责修理或更换，乙方承担因此产生的一切费用。要求在5个工作日内排除故障/或者在买方允许的时间内排除故障，从而使设备正常工作。</w:t>
      </w:r>
    </w:p>
    <w:p w14:paraId="4FB01B17">
      <w:pPr>
        <w:tabs>
          <w:tab w:val="left" w:pos="1230"/>
          <w:tab w:val="left" w:pos="9983"/>
        </w:tabs>
        <w:adjustRightInd w:val="0"/>
        <w:snapToGrid w:val="0"/>
        <w:spacing w:line="360" w:lineRule="auto"/>
        <w:ind w:firstLine="480" w:firstLineChars="200"/>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10.2.2 如果卖方接到故障信息后在合同规定的时间内没有以合理的速度弥补缺陷，买方可采取必要的补救措施，但其风险和费用将由卖方承担，买方根据合同规定对卖方行使的其他权力不受影响。</w:t>
      </w:r>
    </w:p>
    <w:p w14:paraId="320C2769">
      <w:pPr>
        <w:tabs>
          <w:tab w:val="left" w:pos="1230"/>
          <w:tab w:val="left" w:pos="9983"/>
        </w:tabs>
        <w:adjustRightInd w:val="0"/>
        <w:snapToGrid w:val="0"/>
        <w:spacing w:line="360" w:lineRule="auto"/>
        <w:ind w:firstLine="480" w:firstLineChars="200"/>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10.2.3设备保修期过后，卖方或设备制造厂应保证对买方所购设备提供终生优惠的备件供应、维修服务和技术支持。应对设备软、硬件升级及加工能力扩展所需的软、硬件购置费予以优惠。</w:t>
      </w:r>
    </w:p>
    <w:p w14:paraId="1750A9C2">
      <w:pPr>
        <w:spacing w:before="31" w:beforeLines="10" w:after="31" w:afterLines="10" w:line="360" w:lineRule="auto"/>
        <w:ind w:firstLine="480" w:firstLineChars="200"/>
        <w:rPr>
          <w:rFonts w:hint="eastAsia" w:cs="宋体" w:asciiTheme="minorEastAsia" w:hAnsiTheme="minorEastAsia"/>
          <w:kern w:val="0"/>
          <w:sz w:val="24"/>
          <w:szCs w:val="24"/>
        </w:rPr>
      </w:pPr>
      <w:r>
        <w:rPr>
          <w:rFonts w:hint="eastAsia" w:cs="宋体" w:asciiTheme="minorEastAsia" w:hAnsiTheme="minorEastAsia"/>
          <w:kern w:val="0"/>
          <w:sz w:val="24"/>
          <w:szCs w:val="24"/>
        </w:rPr>
        <w:t>10.2.4质保期内，由于甲方人为原因、断电或电涌、不可抗力、意外事件、自然灾害等原因造成的设备故障或局部损坏时，乙方负责修理，收取成本费用。</w:t>
      </w:r>
    </w:p>
    <w:p w14:paraId="0C8D3D50">
      <w:pPr>
        <w:spacing w:before="31" w:beforeLines="10" w:after="31" w:afterLines="10" w:line="360" w:lineRule="auto"/>
        <w:ind w:firstLine="480" w:firstLineChars="200"/>
        <w:rPr>
          <w:rFonts w:hint="eastAsia" w:cs="宋体" w:asciiTheme="minorEastAsia" w:hAnsiTheme="minorEastAsia"/>
          <w:kern w:val="0"/>
          <w:sz w:val="24"/>
          <w:szCs w:val="24"/>
        </w:rPr>
      </w:pPr>
      <w:r>
        <w:rPr>
          <w:rFonts w:hint="eastAsia" w:cs="宋体" w:asciiTheme="minorEastAsia" w:hAnsiTheme="minorEastAsia"/>
          <w:kern w:val="0"/>
          <w:sz w:val="24"/>
          <w:szCs w:val="24"/>
        </w:rPr>
        <w:t>10.2.5质保期过后，乙方仍应负责设备的长期维护服务，收取相应的成本费用。</w:t>
      </w:r>
    </w:p>
    <w:p w14:paraId="2175E4A1">
      <w:pPr>
        <w:pStyle w:val="145"/>
        <w:spacing w:before="31" w:beforeLines="10" w:after="31" w:afterLines="10" w:line="360" w:lineRule="auto"/>
        <w:ind w:left="0"/>
        <w:rPr>
          <w:rFonts w:hint="eastAsia" w:cs="宋体" w:asciiTheme="minorEastAsia" w:hAnsiTheme="minorEastAsia"/>
          <w:b/>
          <w:bCs/>
          <w:lang w:eastAsia="zh-CN" w:bidi="ar-SA"/>
        </w:rPr>
      </w:pPr>
      <w:r>
        <w:rPr>
          <w:rFonts w:hint="eastAsia" w:cs="宋体" w:asciiTheme="minorEastAsia" w:hAnsiTheme="minorEastAsia"/>
          <w:b/>
          <w:bCs/>
          <w:lang w:eastAsia="zh-CN" w:bidi="ar-SA"/>
        </w:rPr>
        <w:t>第十一条 合同变更、解除</w:t>
      </w:r>
    </w:p>
    <w:p w14:paraId="42D0C1AA">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11.1双方无正当理由不得解除合同，一方变更、解除合同给对方造成损失的，过错方应赔偿损失。</w:t>
      </w:r>
    </w:p>
    <w:p w14:paraId="5DA2740B">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11.2乙方不能供货或供货不符合合同约定，甲方不同意接收的，甲方可解除合同，因此给甲方造成损失的，乙方应赔偿损失。</w:t>
      </w:r>
    </w:p>
    <w:p w14:paraId="3C4AA94E">
      <w:pPr>
        <w:pStyle w:val="145"/>
        <w:spacing w:before="31" w:beforeLines="10" w:after="31" w:afterLines="10" w:line="360" w:lineRule="auto"/>
        <w:ind w:left="0"/>
        <w:rPr>
          <w:rFonts w:hint="eastAsia" w:cs="宋体" w:asciiTheme="minorEastAsia" w:hAnsiTheme="minorEastAsia"/>
          <w:b/>
          <w:bCs/>
          <w:lang w:eastAsia="zh-CN" w:bidi="ar-SA"/>
        </w:rPr>
      </w:pPr>
      <w:r>
        <w:rPr>
          <w:rFonts w:hint="eastAsia" w:cs="宋体" w:asciiTheme="minorEastAsia" w:hAnsiTheme="minorEastAsia"/>
          <w:b/>
          <w:bCs/>
          <w:lang w:eastAsia="zh-CN" w:bidi="ar-SA"/>
        </w:rPr>
        <w:t>第十二条 违约责任</w:t>
      </w:r>
    </w:p>
    <w:p w14:paraId="174DF0FA">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12.1由于不可抗力等原因，致使变更或者解除合同、逾期交付或者逾期付款时，当事人不承担违约责任。发生不可抗力的一方应自不可抗力发生拾日内通知对方并出具相关证明，同时应采取相应的补救措施，否则，发生不可抗力的一方应就扩大的损失予以赔偿。合同如因计划变更或遇不可抗力需要终止，双方需签订终止协议。</w:t>
      </w:r>
    </w:p>
    <w:p w14:paraId="24225FEB">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12.2任何一方擅自变更、不履行或解除合同视为违约，违约方应向守约方支付合同总额的10%作为违约金，并承担违约造成的全部损失。</w:t>
      </w:r>
    </w:p>
    <w:p w14:paraId="7F760212">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12.3乙方逾期交付产品，应按未交付产品价值的10‰/日向甲方支付违约金，逾期伍个工作日仍未交付，甲方有权解除合同。</w:t>
      </w:r>
    </w:p>
    <w:p w14:paraId="6D3A63BF">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12.4甲方逾期支付货款，应按合同未付款额的10‰/日向乙方支付违约金，逾期伍个工作日仍未支付，乙方有权解除合同。</w:t>
      </w:r>
    </w:p>
    <w:p w14:paraId="74119649">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12.5如乙方交付产品与约定不符或存在质量问题的，甲方有权退货或要求乙方调换。甲方要求调换的，乙方应当在叁个工作日内予以调换成合格产品，由此造成的逾期，按上述第12.3条处理；调换后仍不符合要求的，甲方有权要求退货并解除合同，同时乙方应向甲方支付合同总额的10%作为违约金。甲方要求退货或调换的，乙方应承担因退货或调换产生的包装、运输等费用并赔偿因此给甲方造成的全部损失。</w:t>
      </w:r>
    </w:p>
    <w:p w14:paraId="7353B36B">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12.6如因乙方违约导致甲方解除合同的，乙方应返还甲方已支付的全部货款以及已支付货款的利息，利息自货款支付之日起计算。</w:t>
      </w:r>
    </w:p>
    <w:p w14:paraId="6D16F758">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12.7违约金、赔偿金在确认违约责任后叁个工作日内，由违约方向守约方偿付。</w:t>
      </w:r>
    </w:p>
    <w:p w14:paraId="251BE554">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12.8 如果乙方不能按照合同的约定提供售后服务保障的，每延迟一日按照合同金额的1‰给付甲方违约金。在乙方延迟提供售后服务保障情况下，甲方可自主决定是否通过第三方或自己解决设备问题，由此产生的费用由乙方负担。</w:t>
      </w:r>
    </w:p>
    <w:p w14:paraId="3A3992D2">
      <w:pPr>
        <w:spacing w:before="31" w:beforeLines="10" w:after="31" w:afterLines="10" w:line="360" w:lineRule="auto"/>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第十三条 纠纷解决</w:t>
      </w:r>
    </w:p>
    <w:p w14:paraId="4DC24AD2">
      <w:pPr>
        <w:spacing w:before="31" w:beforeLines="10" w:after="31" w:afterLines="10" w:line="360" w:lineRule="auto"/>
        <w:ind w:firstLine="480" w:firstLineChars="200"/>
        <w:rPr>
          <w:rFonts w:hint="eastAsia" w:cs="宋体" w:asciiTheme="minorEastAsia" w:hAnsiTheme="minorEastAsia"/>
          <w:kern w:val="0"/>
          <w:sz w:val="24"/>
          <w:szCs w:val="24"/>
        </w:rPr>
      </w:pPr>
      <w:r>
        <w:rPr>
          <w:rFonts w:hint="eastAsia" w:cs="宋体" w:asciiTheme="minorEastAsia" w:hAnsiTheme="minorEastAsia"/>
          <w:kern w:val="0"/>
          <w:sz w:val="24"/>
          <w:szCs w:val="24"/>
        </w:rPr>
        <w:t>如因双方之间签订的合同、协议，或履行签订的合同、协议，或发生的其他业务出现的争议，双方应协商解决；协商不成时，依法向合同签订地人民法院起诉。</w:t>
      </w:r>
    </w:p>
    <w:p w14:paraId="31BD2D89">
      <w:pPr>
        <w:pStyle w:val="145"/>
        <w:spacing w:before="31" w:beforeLines="10" w:after="31" w:afterLines="10" w:line="360" w:lineRule="auto"/>
        <w:ind w:left="0"/>
        <w:rPr>
          <w:rFonts w:hint="eastAsia" w:cs="宋体" w:asciiTheme="minorEastAsia" w:hAnsiTheme="minorEastAsia"/>
          <w:b/>
          <w:bCs/>
          <w:lang w:eastAsia="zh-CN" w:bidi="ar-SA"/>
        </w:rPr>
      </w:pPr>
      <w:r>
        <w:rPr>
          <w:rFonts w:hint="eastAsia" w:cs="宋体" w:asciiTheme="minorEastAsia" w:hAnsiTheme="minorEastAsia"/>
          <w:b/>
          <w:bCs/>
          <w:lang w:eastAsia="zh-CN" w:bidi="ar-SA"/>
        </w:rPr>
        <w:t>第十四条 其他</w:t>
      </w:r>
    </w:p>
    <w:p w14:paraId="4188B30B">
      <w:pPr>
        <w:spacing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14.1其他约定事项：无。</w:t>
      </w:r>
    </w:p>
    <w:p w14:paraId="34497168">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14.2本合同未尽事宜，双方另行协商达成补充协议，补充协议与本合同具有同等效力。</w:t>
      </w:r>
    </w:p>
    <w:p w14:paraId="00907668">
      <w:pPr>
        <w:spacing w:before="31" w:beforeLines="10" w:after="31" w:afterLines="10"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14.3本合同一式肆份，双方各执两份，双方代表签字盖章后生效（合同需加盖骑缝章，传真及复印件同样有效）。</w:t>
      </w:r>
    </w:p>
    <w:p w14:paraId="411B1C2B">
      <w:pPr>
        <w:spacing w:before="31" w:beforeLines="10" w:after="31" w:afterLines="10" w:line="360" w:lineRule="auto"/>
        <w:rPr>
          <w:rFonts w:hint="eastAsia" w:cs="宋体" w:asciiTheme="minorEastAsia" w:hAnsiTheme="minorEastAsia"/>
          <w:kern w:val="0"/>
          <w:sz w:val="24"/>
          <w:szCs w:val="24"/>
        </w:rPr>
      </w:pPr>
    </w:p>
    <w:tbl>
      <w:tblPr>
        <w:tblStyle w:val="77"/>
        <w:tblW w:w="9766" w:type="dxa"/>
        <w:jc w:val="center"/>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16"/>
        <w:gridCol w:w="3544"/>
        <w:gridCol w:w="3606"/>
      </w:tblGrid>
      <w:tr w14:paraId="00A3B03F">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481473CA">
            <w:pPr>
              <w:adjustRightInd w:val="0"/>
              <w:snapToGrid w:val="0"/>
              <w:spacing w:before="31" w:beforeLines="10" w:after="31" w:afterLines="10" w:line="360" w:lineRule="auto"/>
              <w:jc w:val="center"/>
              <w:rPr>
                <w:rFonts w:hint="eastAsia" w:cs="宋体" w:asciiTheme="minorEastAsia" w:hAnsiTheme="minorEastAsia"/>
                <w:kern w:val="0"/>
                <w:sz w:val="24"/>
                <w:szCs w:val="24"/>
              </w:rPr>
            </w:pPr>
          </w:p>
        </w:tc>
        <w:tc>
          <w:tcPr>
            <w:tcW w:w="3544" w:type="dxa"/>
            <w:vAlign w:val="center"/>
          </w:tcPr>
          <w:p w14:paraId="53AAED57">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甲方</w:t>
            </w:r>
          </w:p>
        </w:tc>
        <w:tc>
          <w:tcPr>
            <w:tcW w:w="3606" w:type="dxa"/>
            <w:vAlign w:val="center"/>
          </w:tcPr>
          <w:p w14:paraId="5F5FFE17">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乙方</w:t>
            </w:r>
          </w:p>
        </w:tc>
      </w:tr>
      <w:tr w14:paraId="689B5EAB">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22AD05FA">
            <w:pPr>
              <w:widowControl/>
              <w:spacing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单位名称</w:t>
            </w:r>
          </w:p>
        </w:tc>
        <w:tc>
          <w:tcPr>
            <w:tcW w:w="3544" w:type="dxa"/>
            <w:vAlign w:val="center"/>
          </w:tcPr>
          <w:p w14:paraId="62CB1E49">
            <w:pPr>
              <w:widowControl/>
              <w:spacing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国联汽车动力电池研究院有限责任公司</w:t>
            </w:r>
          </w:p>
        </w:tc>
        <w:tc>
          <w:tcPr>
            <w:tcW w:w="3606" w:type="dxa"/>
            <w:vAlign w:val="center"/>
          </w:tcPr>
          <w:p w14:paraId="2555D364">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r w14:paraId="4FCB649F">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2B8BC0EE">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法定代表人/委托代理人</w:t>
            </w:r>
          </w:p>
        </w:tc>
        <w:tc>
          <w:tcPr>
            <w:tcW w:w="3544" w:type="dxa"/>
            <w:vAlign w:val="center"/>
          </w:tcPr>
          <w:p w14:paraId="2B753923">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c>
          <w:tcPr>
            <w:tcW w:w="3606" w:type="dxa"/>
            <w:vAlign w:val="center"/>
          </w:tcPr>
          <w:p w14:paraId="4B1DC2EA">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r w14:paraId="66B26CC0">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48E00AE4">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承办人</w:t>
            </w:r>
          </w:p>
        </w:tc>
        <w:tc>
          <w:tcPr>
            <w:tcW w:w="3544" w:type="dxa"/>
            <w:vAlign w:val="center"/>
          </w:tcPr>
          <w:p w14:paraId="560EB294">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c>
          <w:tcPr>
            <w:tcW w:w="3606" w:type="dxa"/>
            <w:vAlign w:val="center"/>
          </w:tcPr>
          <w:p w14:paraId="0CE5CB3C">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r w14:paraId="47669781">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6602E52E">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日    期</w:t>
            </w:r>
          </w:p>
        </w:tc>
        <w:tc>
          <w:tcPr>
            <w:tcW w:w="3544" w:type="dxa"/>
            <w:vAlign w:val="center"/>
          </w:tcPr>
          <w:p w14:paraId="181EF0FA">
            <w:pPr>
              <w:adjustRightInd w:val="0"/>
              <w:snapToGrid w:val="0"/>
              <w:spacing w:before="31" w:beforeLines="10" w:after="31" w:afterLines="10" w:line="360" w:lineRule="auto"/>
              <w:ind w:firstLine="480" w:firstLineChars="200"/>
              <w:jc w:val="left"/>
              <w:rPr>
                <w:rFonts w:hint="eastAsia" w:cs="宋体" w:asciiTheme="minorEastAsia" w:hAnsiTheme="minorEastAsia"/>
                <w:kern w:val="0"/>
                <w:sz w:val="24"/>
                <w:szCs w:val="24"/>
              </w:rPr>
            </w:pPr>
          </w:p>
        </w:tc>
        <w:tc>
          <w:tcPr>
            <w:tcW w:w="3606" w:type="dxa"/>
            <w:vAlign w:val="center"/>
          </w:tcPr>
          <w:p w14:paraId="760F636F">
            <w:pPr>
              <w:adjustRightInd w:val="0"/>
              <w:snapToGrid w:val="0"/>
              <w:spacing w:before="31" w:beforeLines="10" w:after="31" w:afterLines="10" w:line="360" w:lineRule="auto"/>
              <w:ind w:firstLine="1440" w:firstLineChars="600"/>
              <w:jc w:val="left"/>
              <w:rPr>
                <w:rFonts w:hint="eastAsia" w:cs="宋体" w:asciiTheme="minorEastAsia" w:hAnsiTheme="minorEastAsia"/>
                <w:kern w:val="0"/>
                <w:sz w:val="24"/>
                <w:szCs w:val="24"/>
              </w:rPr>
            </w:pPr>
          </w:p>
        </w:tc>
      </w:tr>
      <w:tr w14:paraId="1C463FF4">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45CF0535">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开户银行</w:t>
            </w:r>
          </w:p>
        </w:tc>
        <w:tc>
          <w:tcPr>
            <w:tcW w:w="3544" w:type="dxa"/>
            <w:vAlign w:val="center"/>
          </w:tcPr>
          <w:p w14:paraId="320797D3">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c>
          <w:tcPr>
            <w:tcW w:w="3606" w:type="dxa"/>
            <w:vAlign w:val="center"/>
          </w:tcPr>
          <w:p w14:paraId="68583DC3">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r w14:paraId="0E3DFDCA">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4E102C83">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银行账号</w:t>
            </w:r>
          </w:p>
        </w:tc>
        <w:tc>
          <w:tcPr>
            <w:tcW w:w="3544" w:type="dxa"/>
            <w:vAlign w:val="center"/>
          </w:tcPr>
          <w:p w14:paraId="5D887242">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c>
          <w:tcPr>
            <w:tcW w:w="3606" w:type="dxa"/>
            <w:vAlign w:val="center"/>
          </w:tcPr>
          <w:p w14:paraId="5694318E">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r w14:paraId="36C40713">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 w:hRule="atLeast"/>
          <w:jc w:val="center"/>
        </w:trPr>
        <w:tc>
          <w:tcPr>
            <w:tcW w:w="2616" w:type="dxa"/>
            <w:vAlign w:val="center"/>
          </w:tcPr>
          <w:p w14:paraId="7B3DE2C1">
            <w:pPr>
              <w:adjustRightInd w:val="0"/>
              <w:snapToGrid w:val="0"/>
              <w:spacing w:before="31" w:beforeLines="10" w:after="31" w:afterLines="10" w:line="360" w:lineRule="auto"/>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单位地址</w:t>
            </w:r>
          </w:p>
        </w:tc>
        <w:tc>
          <w:tcPr>
            <w:tcW w:w="3544" w:type="dxa"/>
            <w:vAlign w:val="center"/>
          </w:tcPr>
          <w:p w14:paraId="1031050C">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c>
          <w:tcPr>
            <w:tcW w:w="3606" w:type="dxa"/>
            <w:vAlign w:val="center"/>
          </w:tcPr>
          <w:p w14:paraId="439B4572">
            <w:pPr>
              <w:adjustRightInd w:val="0"/>
              <w:snapToGrid w:val="0"/>
              <w:spacing w:before="31" w:beforeLines="10" w:after="31" w:afterLines="10" w:line="360" w:lineRule="auto"/>
              <w:jc w:val="left"/>
              <w:rPr>
                <w:rFonts w:hint="eastAsia" w:cs="宋体" w:asciiTheme="minorEastAsia" w:hAnsiTheme="minorEastAsia"/>
                <w:kern w:val="0"/>
                <w:sz w:val="24"/>
                <w:szCs w:val="24"/>
              </w:rPr>
            </w:pPr>
          </w:p>
        </w:tc>
      </w:tr>
    </w:tbl>
    <w:p w14:paraId="19502385">
      <w:pPr>
        <w:pStyle w:val="110"/>
        <w:spacing w:after="0" w:line="360" w:lineRule="auto"/>
        <w:ind w:firstLine="480" w:firstLineChars="200"/>
        <w:outlineLvl w:val="0"/>
        <w:rPr>
          <w:rFonts w:hint="eastAsia" w:cs="宋体" w:asciiTheme="minorEastAsia" w:hAnsiTheme="minorEastAsia"/>
          <w:color w:val="auto"/>
        </w:rPr>
      </w:pPr>
    </w:p>
    <w:p w14:paraId="75E78752">
      <w:pPr>
        <w:rPr>
          <w:rFonts w:hint="eastAsia" w:cs="宋体" w:asciiTheme="minorEastAsia" w:hAnsiTheme="minorEastAsia"/>
          <w:color w:val="auto"/>
        </w:rPr>
      </w:pPr>
      <w:r>
        <w:rPr>
          <w:rFonts w:hint="eastAsia" w:cs="宋体" w:asciiTheme="minorEastAsia" w:hAnsiTheme="minorEastAsia"/>
          <w:kern w:val="0"/>
          <w:sz w:val="24"/>
          <w:szCs w:val="24"/>
        </w:rPr>
        <w:br w:type="page"/>
      </w:r>
    </w:p>
    <w:bookmarkEnd w:id="99"/>
    <w:p w14:paraId="4E3F3958">
      <w:pPr>
        <w:pStyle w:val="3"/>
        <w:spacing w:line="360" w:lineRule="auto"/>
        <w:rPr>
          <w:rFonts w:hint="eastAsia" w:asciiTheme="minorEastAsia" w:hAnsiTheme="minorEastAsia" w:eastAsiaTheme="minorEastAsia"/>
          <w:lang w:eastAsia="zh-CN"/>
        </w:rPr>
      </w:pPr>
      <w:bookmarkStart w:id="100" w:name="_Toc427665308"/>
      <w:r>
        <w:rPr>
          <w:rFonts w:hint="eastAsia" w:asciiTheme="minorEastAsia" w:hAnsiTheme="minorEastAsia" w:eastAsiaTheme="minorEastAsia"/>
          <w:lang w:eastAsia="zh-CN"/>
        </w:rPr>
        <w:t>第四章投标文件的组成</w:t>
      </w:r>
      <w:bookmarkEnd w:id="100"/>
    </w:p>
    <w:p w14:paraId="6A87B5D0">
      <w:pPr>
        <w:spacing w:line="360" w:lineRule="auto"/>
        <w:jc w:val="left"/>
        <w:rPr>
          <w:rFonts w:hint="eastAsia" w:asciiTheme="minorEastAsia" w:hAnsiTheme="minorEastAsia"/>
          <w:b/>
          <w:sz w:val="28"/>
          <w:szCs w:val="28"/>
        </w:rPr>
      </w:pPr>
      <w:bookmarkStart w:id="101" w:name="_Toc389642124"/>
      <w:r>
        <w:rPr>
          <w:rFonts w:hint="eastAsia" w:asciiTheme="minorEastAsia" w:hAnsiTheme="minorEastAsia"/>
          <w:b/>
          <w:sz w:val="28"/>
          <w:szCs w:val="28"/>
        </w:rPr>
        <w:t>4</w:t>
      </w:r>
      <w:r>
        <w:rPr>
          <w:rFonts w:asciiTheme="minorEastAsia" w:hAnsiTheme="minorEastAsia"/>
          <w:b/>
          <w:sz w:val="28"/>
          <w:szCs w:val="28"/>
        </w:rPr>
        <w:t xml:space="preserve">.1 </w:t>
      </w:r>
      <w:r>
        <w:rPr>
          <w:rFonts w:hint="eastAsia" w:asciiTheme="minorEastAsia" w:hAnsiTheme="minorEastAsia"/>
          <w:b/>
          <w:sz w:val="28"/>
          <w:szCs w:val="28"/>
        </w:rPr>
        <w:t>投标申请函</w:t>
      </w:r>
      <w:bookmarkEnd w:id="101"/>
    </w:p>
    <w:p w14:paraId="7356EC63">
      <w:pPr>
        <w:spacing w:line="360" w:lineRule="auto"/>
        <w:rPr>
          <w:rFonts w:hint="eastAsia" w:cs="宋体" w:asciiTheme="minorEastAsia" w:hAnsiTheme="minorEastAsia"/>
          <w:b/>
          <w:kern w:val="0"/>
          <w:sz w:val="24"/>
          <w:szCs w:val="24"/>
        </w:rPr>
      </w:pPr>
      <w:r>
        <w:rPr>
          <w:rFonts w:hint="eastAsia" w:cs="宋体" w:asciiTheme="minorEastAsia" w:hAnsiTheme="minorEastAsia"/>
          <w:b/>
          <w:kern w:val="0"/>
          <w:sz w:val="24"/>
          <w:szCs w:val="24"/>
        </w:rPr>
        <w:t>致：国联汽车动力电池研究院有限责任公司</w:t>
      </w:r>
    </w:p>
    <w:p w14:paraId="68B78D85">
      <w:pPr>
        <w:tabs>
          <w:tab w:val="left" w:pos="7560"/>
        </w:tabs>
        <w:snapToGrid w:val="0"/>
        <w:spacing w:after="78" w:afterLines="25" w:line="360" w:lineRule="auto"/>
        <w:rPr>
          <w:rFonts w:hint="eastAsia" w:cs="宋体" w:asciiTheme="minorEastAsia" w:hAnsiTheme="minorEastAsia"/>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、根据贵公司项目名称为【国家动力电池创新中心强化创新能力建设“两重”建设项目-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宋体" w:asciiTheme="minorEastAsia" w:hAnsiTheme="minorEastAsia"/>
          <w:kern w:val="0"/>
          <w:sz w:val="24"/>
          <w:szCs w:val="24"/>
        </w:rPr>
        <w:t>】的议标文件，遵照有关规定，经对上述议标文件各部分内容的仔细阅读和研究，我公司自愿参加本项目投标，并承诺满足上述议标文件的条件和要求。</w:t>
      </w:r>
    </w:p>
    <w:p w14:paraId="64BD1562">
      <w:pPr>
        <w:snapToGrid w:val="0"/>
        <w:spacing w:after="78" w:afterLines="25" w:line="360" w:lineRule="auto"/>
        <w:rPr>
          <w:rFonts w:hint="eastAsia"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、我公司已详细阅读了全部议标文件，包括修改和补充文件（如有时）及有关附件。</w:t>
      </w:r>
    </w:p>
    <w:p w14:paraId="44EA4A49">
      <w:pPr>
        <w:snapToGrid w:val="0"/>
        <w:spacing w:after="78" w:afterLines="25" w:line="360" w:lineRule="auto"/>
        <w:rPr>
          <w:rFonts w:hint="eastAsia" w:cs="宋体" w:asciiTheme="minorEastAsia" w:hAnsiTheme="minorEastAsia"/>
          <w:kern w:val="0"/>
          <w:sz w:val="24"/>
          <w:szCs w:val="24"/>
        </w:rPr>
      </w:pPr>
      <w:r>
        <w:rPr>
          <w:rFonts w:cs="宋体" w:asciiTheme="minorEastAsia" w:hAnsiTheme="minorEastAsia"/>
          <w:kern w:val="0"/>
          <w:sz w:val="24"/>
          <w:szCs w:val="24"/>
        </w:rPr>
        <w:t>3、我公司同意所提交的投标文件在</w:t>
      </w:r>
      <w:r>
        <w:rPr>
          <w:rFonts w:hint="eastAsia" w:cs="宋体" w:asciiTheme="minorEastAsia" w:hAnsiTheme="minorEastAsia"/>
          <w:kern w:val="0"/>
          <w:sz w:val="24"/>
          <w:szCs w:val="24"/>
        </w:rPr>
        <w:t>议标</w:t>
      </w:r>
      <w:r>
        <w:rPr>
          <w:rFonts w:cs="宋体" w:asciiTheme="minorEastAsia" w:hAnsiTheme="minorEastAsia"/>
          <w:kern w:val="0"/>
          <w:sz w:val="24"/>
          <w:szCs w:val="24"/>
        </w:rPr>
        <w:t>文件中规定的投标文件有效期内均有效，在此期间内如果中标，我公司将受此约束。</w:t>
      </w:r>
    </w:p>
    <w:p w14:paraId="6B30ABC2">
      <w:pPr>
        <w:snapToGrid w:val="0"/>
        <w:spacing w:after="78" w:afterLines="25" w:line="360" w:lineRule="auto"/>
        <w:rPr>
          <w:rFonts w:hint="eastAsia" w:cs="宋体" w:asciiTheme="minorEastAsia" w:hAnsiTheme="minorEastAsia"/>
          <w:kern w:val="0"/>
          <w:sz w:val="24"/>
          <w:szCs w:val="24"/>
        </w:rPr>
      </w:pPr>
      <w:r>
        <w:rPr>
          <w:rFonts w:cs="宋体" w:asciiTheme="minorEastAsia" w:hAnsiTheme="minorEastAsia"/>
          <w:kern w:val="0"/>
          <w:sz w:val="24"/>
          <w:szCs w:val="24"/>
        </w:rPr>
        <w:t>4、除非另外达成生效协议，贵公司的中标通知书和本</w:t>
      </w:r>
      <w:r>
        <w:rPr>
          <w:rFonts w:hint="eastAsia" w:cs="宋体" w:asciiTheme="minorEastAsia" w:hAnsiTheme="minorEastAsia"/>
          <w:kern w:val="0"/>
          <w:sz w:val="24"/>
          <w:szCs w:val="24"/>
        </w:rPr>
        <w:t>议标</w:t>
      </w:r>
      <w:r>
        <w:rPr>
          <w:rFonts w:cs="宋体" w:asciiTheme="minorEastAsia" w:hAnsiTheme="minorEastAsia"/>
          <w:kern w:val="0"/>
          <w:sz w:val="24"/>
          <w:szCs w:val="24"/>
        </w:rPr>
        <w:t>文件将成为约束双方的合同文件的组成部分。</w:t>
      </w:r>
    </w:p>
    <w:p w14:paraId="453A1821">
      <w:pPr>
        <w:snapToGrid w:val="0"/>
        <w:spacing w:after="78" w:afterLines="25" w:line="360" w:lineRule="auto"/>
        <w:rPr>
          <w:rFonts w:hint="eastAsia" w:cs="宋体" w:asciiTheme="minorEastAsia" w:hAnsiTheme="minorEastAsia"/>
          <w:kern w:val="0"/>
          <w:sz w:val="24"/>
          <w:szCs w:val="24"/>
        </w:rPr>
      </w:pPr>
      <w:r>
        <w:rPr>
          <w:rFonts w:cs="宋体" w:asciiTheme="minorEastAsia" w:hAnsiTheme="minorEastAsia"/>
          <w:kern w:val="0"/>
          <w:sz w:val="24"/>
          <w:szCs w:val="24"/>
        </w:rPr>
        <w:t>5、我公司承诺我公司所提供的投标文件中证明文件是真实有效的，无弄虚作假现象。</w:t>
      </w:r>
    </w:p>
    <w:p w14:paraId="60BC7E22">
      <w:pPr>
        <w:snapToGrid w:val="0"/>
        <w:spacing w:after="78" w:afterLines="25" w:line="360" w:lineRule="auto"/>
        <w:rPr>
          <w:rFonts w:hint="eastAsia" w:cs="宋体" w:asciiTheme="minorEastAsia" w:hAnsiTheme="minorEastAsia"/>
          <w:kern w:val="0"/>
          <w:sz w:val="24"/>
          <w:szCs w:val="24"/>
        </w:rPr>
      </w:pPr>
    </w:p>
    <w:p w14:paraId="3A3FB784">
      <w:pPr>
        <w:spacing w:line="360" w:lineRule="auto"/>
        <w:ind w:firstLine="4560" w:firstLineChars="1900"/>
        <w:rPr>
          <w:rFonts w:hint="eastAsia" w:asciiTheme="minorEastAsia" w:hAnsiTheme="minorEastAsia"/>
          <w:sz w:val="24"/>
        </w:rPr>
      </w:pPr>
      <w:r>
        <w:rPr>
          <w:rFonts w:hint="eastAsia" w:asciiTheme="minorEastAsia" w:hAnsiTheme="minorEastAsia"/>
          <w:sz w:val="24"/>
        </w:rPr>
        <w:t>投标人名称（加盖公章）：</w:t>
      </w:r>
    </w:p>
    <w:p w14:paraId="397022A3">
      <w:pPr>
        <w:spacing w:line="360" w:lineRule="auto"/>
        <w:ind w:firstLine="4516" w:firstLineChars="1882"/>
        <w:rPr>
          <w:rFonts w:hint="eastAsia" w:asciiTheme="minorEastAsia" w:hAnsiTheme="minorEastAsia"/>
          <w:sz w:val="24"/>
          <w:u w:val="single"/>
        </w:rPr>
      </w:pPr>
      <w:r>
        <w:rPr>
          <w:rFonts w:hint="eastAsia" w:asciiTheme="minorEastAsia" w:hAnsiTheme="minorEastAsia"/>
          <w:sz w:val="24"/>
        </w:rPr>
        <w:t>法定代表人</w:t>
      </w:r>
      <w:r>
        <w:rPr>
          <w:rFonts w:asciiTheme="minorEastAsia" w:hAnsiTheme="minorEastAsia"/>
          <w:sz w:val="24"/>
        </w:rPr>
        <w:t>/授权代表（签</w:t>
      </w:r>
      <w:r>
        <w:rPr>
          <w:rFonts w:hint="eastAsia" w:asciiTheme="minorEastAsia" w:hAnsiTheme="minorEastAsia"/>
          <w:bCs/>
          <w:sz w:val="24"/>
        </w:rPr>
        <w:t>字</w:t>
      </w:r>
      <w:r>
        <w:rPr>
          <w:rFonts w:hint="eastAsia" w:asciiTheme="minorEastAsia" w:hAnsiTheme="minorEastAsia"/>
          <w:sz w:val="24"/>
        </w:rPr>
        <w:t>）：</w:t>
      </w:r>
    </w:p>
    <w:p w14:paraId="1DED9F55">
      <w:pPr>
        <w:spacing w:line="360" w:lineRule="auto"/>
        <w:ind w:firstLine="4560" w:firstLineChars="1900"/>
        <w:rPr>
          <w:rFonts w:hint="eastAsia" w:asciiTheme="minorEastAsia" w:hAnsiTheme="minorEastAsia"/>
          <w:sz w:val="24"/>
        </w:rPr>
      </w:pPr>
      <w:r>
        <w:rPr>
          <w:rFonts w:hint="eastAsia" w:asciiTheme="minorEastAsia" w:hAnsiTheme="minorEastAsia"/>
          <w:sz w:val="24"/>
        </w:rPr>
        <w:t>日期：年月日</w:t>
      </w:r>
    </w:p>
    <w:p w14:paraId="40064ABC">
      <w:pPr>
        <w:spacing w:line="360" w:lineRule="auto"/>
        <w:ind w:firstLine="4560" w:firstLineChars="1900"/>
        <w:rPr>
          <w:rFonts w:hint="eastAsia" w:asciiTheme="minorEastAsia" w:hAnsiTheme="minorEastAsia"/>
          <w:sz w:val="24"/>
        </w:rPr>
      </w:pPr>
    </w:p>
    <w:p w14:paraId="4C6DD361">
      <w:pPr>
        <w:spacing w:line="360" w:lineRule="auto"/>
        <w:ind w:firstLine="4560" w:firstLineChars="1900"/>
        <w:rPr>
          <w:rFonts w:hint="eastAsia" w:asciiTheme="minorEastAsia" w:hAnsiTheme="minorEastAsia"/>
          <w:sz w:val="24"/>
        </w:rPr>
      </w:pPr>
    </w:p>
    <w:p w14:paraId="2C531C36">
      <w:pPr>
        <w:spacing w:line="360" w:lineRule="auto"/>
        <w:ind w:firstLine="4560" w:firstLineChars="1900"/>
        <w:rPr>
          <w:rFonts w:hint="eastAsia" w:asciiTheme="minorEastAsia" w:hAnsiTheme="minorEastAsia"/>
          <w:sz w:val="24"/>
        </w:rPr>
      </w:pPr>
    </w:p>
    <w:p w14:paraId="0B6E13A5">
      <w:pPr>
        <w:spacing w:line="360" w:lineRule="auto"/>
        <w:ind w:firstLine="4560" w:firstLineChars="1900"/>
        <w:rPr>
          <w:rFonts w:hint="eastAsia" w:asciiTheme="minorEastAsia" w:hAnsiTheme="minorEastAsia"/>
          <w:sz w:val="24"/>
        </w:rPr>
      </w:pPr>
    </w:p>
    <w:p w14:paraId="18F4541F">
      <w:pPr>
        <w:spacing w:line="360" w:lineRule="auto"/>
        <w:ind w:firstLine="4560" w:firstLineChars="1900"/>
        <w:rPr>
          <w:rFonts w:hint="eastAsia" w:asciiTheme="minorEastAsia" w:hAnsiTheme="minorEastAsia"/>
          <w:sz w:val="24"/>
        </w:rPr>
      </w:pPr>
    </w:p>
    <w:p w14:paraId="704BDF0F">
      <w:pPr>
        <w:spacing w:line="360" w:lineRule="auto"/>
        <w:ind w:firstLine="4560" w:firstLineChars="1900"/>
        <w:rPr>
          <w:rFonts w:hint="eastAsia" w:asciiTheme="minorEastAsia" w:hAnsiTheme="minorEastAsia"/>
          <w:sz w:val="24"/>
        </w:rPr>
      </w:pPr>
    </w:p>
    <w:p w14:paraId="29B92C53">
      <w:pPr>
        <w:spacing w:line="360" w:lineRule="auto"/>
        <w:ind w:firstLine="4560" w:firstLineChars="1900"/>
        <w:rPr>
          <w:rFonts w:hint="eastAsia" w:asciiTheme="minorEastAsia" w:hAnsiTheme="minorEastAsia"/>
          <w:sz w:val="24"/>
        </w:rPr>
      </w:pPr>
    </w:p>
    <w:p w14:paraId="3FE638F4">
      <w:pPr>
        <w:spacing w:line="360" w:lineRule="auto"/>
        <w:ind w:firstLine="4560" w:firstLineChars="1900"/>
        <w:rPr>
          <w:rFonts w:hint="eastAsia" w:asciiTheme="minorEastAsia" w:hAnsiTheme="minorEastAsia"/>
          <w:sz w:val="24"/>
        </w:rPr>
      </w:pPr>
    </w:p>
    <w:p w14:paraId="7E23C972">
      <w:pPr>
        <w:spacing w:line="360" w:lineRule="auto"/>
        <w:ind w:firstLine="4560" w:firstLineChars="1900"/>
        <w:rPr>
          <w:rFonts w:hint="eastAsia" w:asciiTheme="minorEastAsia" w:hAnsiTheme="minorEastAsia"/>
          <w:sz w:val="24"/>
        </w:rPr>
      </w:pPr>
    </w:p>
    <w:p w14:paraId="3DF40E54">
      <w:pPr>
        <w:spacing w:line="360" w:lineRule="auto"/>
        <w:ind w:firstLine="4560" w:firstLineChars="1900"/>
        <w:rPr>
          <w:rFonts w:hint="eastAsia" w:asciiTheme="minorEastAsia" w:hAnsiTheme="minorEastAsia"/>
          <w:sz w:val="24"/>
        </w:rPr>
      </w:pPr>
    </w:p>
    <w:p w14:paraId="56D6865B">
      <w:pPr>
        <w:spacing w:line="360" w:lineRule="auto"/>
        <w:ind w:firstLine="4560" w:firstLineChars="1900"/>
        <w:rPr>
          <w:rFonts w:hint="eastAsia" w:asciiTheme="minorEastAsia" w:hAnsiTheme="minorEastAsia"/>
          <w:sz w:val="24"/>
        </w:rPr>
      </w:pPr>
    </w:p>
    <w:p w14:paraId="7EED22BA">
      <w:pPr>
        <w:spacing w:line="360" w:lineRule="auto"/>
        <w:jc w:val="left"/>
        <w:rPr>
          <w:rFonts w:hint="eastAsia" w:asciiTheme="minorEastAsia" w:hAnsiTheme="minorEastAsia"/>
          <w:b/>
          <w:sz w:val="28"/>
          <w:szCs w:val="28"/>
        </w:rPr>
      </w:pPr>
      <w:bookmarkStart w:id="102" w:name="_Toc389642125"/>
      <w:r>
        <w:rPr>
          <w:rFonts w:hint="eastAsia" w:asciiTheme="minorEastAsia" w:hAnsiTheme="minorEastAsia"/>
          <w:b/>
          <w:sz w:val="28"/>
          <w:szCs w:val="28"/>
        </w:rPr>
        <w:t>4</w:t>
      </w:r>
      <w:r>
        <w:rPr>
          <w:rFonts w:asciiTheme="minorEastAsia" w:hAnsiTheme="minorEastAsia"/>
          <w:b/>
          <w:sz w:val="28"/>
          <w:szCs w:val="28"/>
        </w:rPr>
        <w:t>.2供应商承诺书</w:t>
      </w:r>
      <w:bookmarkEnd w:id="102"/>
      <w:r>
        <w:rPr>
          <w:rFonts w:hint="eastAsia" w:asciiTheme="minorEastAsia" w:hAnsiTheme="minorEastAsia"/>
          <w:b/>
          <w:sz w:val="28"/>
          <w:szCs w:val="28"/>
        </w:rPr>
        <w:t>（如不提供，视为不合格投标供应商）</w:t>
      </w:r>
    </w:p>
    <w:p w14:paraId="6A5A3952">
      <w:pPr>
        <w:spacing w:line="360" w:lineRule="auto"/>
        <w:ind w:firstLine="643"/>
        <w:jc w:val="center"/>
        <w:rPr>
          <w:rFonts w:hint="eastAsia" w:asciiTheme="minorEastAsia" w:hAnsiTheme="minorEastAsia"/>
          <w:b/>
          <w:sz w:val="32"/>
        </w:rPr>
      </w:pPr>
      <w:r>
        <w:rPr>
          <w:rFonts w:hint="eastAsia" w:asciiTheme="minorEastAsia" w:hAnsiTheme="minorEastAsia"/>
          <w:b/>
          <w:sz w:val="32"/>
        </w:rPr>
        <w:t>国联研究院综合采购项目供应商承诺书</w:t>
      </w:r>
    </w:p>
    <w:p w14:paraId="2255F374">
      <w:pPr>
        <w:spacing w:line="360" w:lineRule="auto"/>
        <w:rPr>
          <w:rFonts w:hint="eastAsia" w:asciiTheme="minorEastAsia" w:hAnsiTheme="minorEastAsia"/>
          <w:sz w:val="22"/>
        </w:rPr>
      </w:pPr>
      <w:r>
        <w:rPr>
          <w:rFonts w:hint="eastAsia" w:asciiTheme="minorEastAsia" w:hAnsiTheme="minorEastAsia"/>
          <w:b/>
          <w:sz w:val="32"/>
        </w:rPr>
        <mc:AlternateContent>
          <mc:Choice Requires="wps">
            <w:drawing>
              <wp:anchor distT="0" distB="0" distL="114300" distR="114300" simplePos="0" relativeHeight="251659264" behindDoc="0" locked="0" layoutInCell="1" allowOverlap="1">
                <wp:simplePos x="0" y="0"/>
                <wp:positionH relativeFrom="column">
                  <wp:posOffset>-55880</wp:posOffset>
                </wp:positionH>
                <wp:positionV relativeFrom="paragraph">
                  <wp:posOffset>250825</wp:posOffset>
                </wp:positionV>
                <wp:extent cx="6028055" cy="932180"/>
                <wp:effectExtent l="4445" t="4445" r="12700" b="15875"/>
                <wp:wrapNone/>
                <wp:docPr id="2" name="Rectangle 2"/>
                <wp:cNvGraphicFramePr/>
                <a:graphic xmlns:a="http://schemas.openxmlformats.org/drawingml/2006/main">
                  <a:graphicData uri="http://schemas.microsoft.com/office/word/2010/wordprocessingShape">
                    <wps:wsp>
                      <wps:cNvSpPr>
                        <a:spLocks noChangeArrowheads="1"/>
                      </wps:cNvSpPr>
                      <wps:spPr bwMode="auto">
                        <a:xfrm>
                          <a:off x="0" y="0"/>
                          <a:ext cx="6028055" cy="932180"/>
                        </a:xfrm>
                        <a:prstGeom prst="rect">
                          <a:avLst/>
                        </a:prstGeom>
                        <a:noFill/>
                        <a:ln w="9525">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4.4pt;margin-top:19.75pt;height:73.4pt;width:474.65pt;z-index:251659264;mso-width-relative:page;mso-height-relative:page;" filled="f" stroked="t" coordsize="21600,21600" o:gfxdata="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ZVXdoAAAAJAQAADwAAAAAAAAABACAAAAAiAAAAZHJzL2Rvd25yZXYueG1sUEsB&#10;AhQAFAAAAAgAh07iQAl11QosAgAAVwQAAA4AAAAAAAAAAQAgAAAAKQEAAGRycy9lMm9Eb2MueG1s&#10;UEsFBgAAAAAGAAYAWQEAAMcFAAAAAA==&#10;">
                <v:fill on="f" focussize="0,0"/>
                <v:stroke color="#FF0000" miterlimit="8" joinstyle="miter"/>
                <v:imagedata o:title=""/>
                <o:lock v:ext="edit" aspectratio="f"/>
              </v:rect>
            </w:pict>
          </mc:Fallback>
        </mc:AlternateContent>
      </w:r>
    </w:p>
    <w:p w14:paraId="56697BDC">
      <w:pPr>
        <w:spacing w:line="360" w:lineRule="auto"/>
        <w:rPr>
          <w:rFonts w:hint="eastAsia" w:asciiTheme="minorEastAsia" w:hAnsiTheme="minorEastAsia"/>
          <w:sz w:val="22"/>
        </w:rPr>
      </w:pPr>
      <w:r>
        <w:rPr>
          <w:rFonts w:hint="eastAsia" w:asciiTheme="minorEastAsia" w:hAnsiTheme="minorEastAsia"/>
          <w:sz w:val="22"/>
        </w:rPr>
        <w:t>为确保国联汽车动力电池研究院有限责任公司内部议标行为的公开、公平、公正性，确立国联研究院与潜在供应商之间的透明的商务往来关系，特制定以下行为规范。</w:t>
      </w:r>
    </w:p>
    <w:p w14:paraId="27C19525">
      <w:pPr>
        <w:spacing w:line="360" w:lineRule="auto"/>
        <w:rPr>
          <w:rFonts w:hint="eastAsia" w:asciiTheme="minorEastAsia" w:hAnsiTheme="minorEastAsia"/>
          <w:sz w:val="22"/>
        </w:rPr>
      </w:pPr>
      <w:r>
        <w:rPr>
          <w:rFonts w:hint="eastAsia" w:asciiTheme="minorEastAsia" w:hAnsiTheme="minorEastAsia"/>
          <w:sz w:val="22"/>
        </w:rPr>
        <w:t>请各潜在供应商诚实地遵守承诺书中内容。</w:t>
      </w:r>
    </w:p>
    <w:p w14:paraId="48836756">
      <w:pPr>
        <w:spacing w:line="360" w:lineRule="auto"/>
        <w:rPr>
          <w:rFonts w:hint="eastAsia" w:asciiTheme="minorEastAsia" w:hAnsiTheme="minorEastAsia"/>
          <w:sz w:val="22"/>
        </w:rPr>
      </w:pPr>
    </w:p>
    <w:p w14:paraId="74201F3D">
      <w:pPr>
        <w:spacing w:line="360" w:lineRule="auto"/>
        <w:ind w:firstLine="482"/>
        <w:rPr>
          <w:rFonts w:hint="eastAsia" w:asciiTheme="minorEastAsia" w:hAnsiTheme="minorEastAsia"/>
          <w:b/>
          <w:sz w:val="24"/>
        </w:rPr>
      </w:pPr>
      <w:r>
        <w:rPr>
          <w:rFonts w:hint="eastAsia" w:asciiTheme="minorEastAsia" w:hAnsiTheme="minorEastAsia"/>
          <w:b/>
          <w:sz w:val="24"/>
        </w:rPr>
        <w:t>承诺事项：</w:t>
      </w:r>
    </w:p>
    <w:p w14:paraId="0F5B4E91">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认可议标文件的全部内容并保证参与本次内部议标的报价单和技术文件均根据国联汽车动力电池研究院有限责任公司发送的议标文件的内容制定。中标项目实施过程中，如发生变动事项时需向综合采购部通报并记录。</w:t>
      </w:r>
    </w:p>
    <w:p w14:paraId="3CE1B744">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承诺在本次内部议标过程中，不发生串通、围标或其他不正当的方法中标等违反公正、透明的商务往来情况的发生。</w:t>
      </w:r>
    </w:p>
    <w:p w14:paraId="3A407416">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承诺在本次内部议标过程中，不对任何国联汽车动力电池研究院有限责任公司相关人员进行贿赂钱财、宴请等行为。</w:t>
      </w:r>
    </w:p>
    <w:p w14:paraId="55B2354D">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承诺已完全明确本次内部议标的评比方法，如在内部议标当日无法参加，则表示对内部议标的过程和结果无异议。</w:t>
      </w:r>
    </w:p>
    <w:p w14:paraId="30B3A57D">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承诺如在参与内部议标过程中违反公平竞争原则，愿意接受国联汽车动力电池研究院有限责任公司采取的取消中标权利的处罚。</w:t>
      </w:r>
    </w:p>
    <w:p w14:paraId="76E07011">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承诺无故撤销投标文件或者接到中标通知书后无正当理由未签订合同的，愿意接受没收投标保证金的处罚。</w:t>
      </w:r>
    </w:p>
    <w:p w14:paraId="1B383D34">
      <w:pPr>
        <w:pStyle w:val="112"/>
        <w:numPr>
          <w:ilvl w:val="0"/>
          <w:numId w:val="4"/>
        </w:numPr>
        <w:spacing w:line="360" w:lineRule="auto"/>
        <w:rPr>
          <w:rFonts w:hint="eastAsia" w:asciiTheme="minorEastAsia" w:hAnsiTheme="minorEastAsia"/>
          <w:lang w:eastAsia="zh-CN"/>
        </w:rPr>
      </w:pPr>
      <w:r>
        <w:rPr>
          <w:rFonts w:hint="eastAsia" w:asciiTheme="minorEastAsia" w:hAnsiTheme="minorEastAsia"/>
          <w:lang w:eastAsia="zh-CN"/>
        </w:rPr>
        <w:t>作为潜在供应商的法定代表人或授权代表对以上承诺事项进行签字确认并盖章。</w:t>
      </w:r>
    </w:p>
    <w:tbl>
      <w:tblPr>
        <w:tblStyle w:val="77"/>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8"/>
        <w:gridCol w:w="2819"/>
        <w:gridCol w:w="4395"/>
      </w:tblGrid>
      <w:tr w14:paraId="1E39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258" w:type="dxa"/>
            <w:vAlign w:val="center"/>
          </w:tcPr>
          <w:p w14:paraId="5790C5A3">
            <w:pPr>
              <w:spacing w:line="360" w:lineRule="auto"/>
              <w:rPr>
                <w:rFonts w:hint="eastAsia" w:asciiTheme="minorEastAsia" w:hAnsiTheme="minorEastAsia"/>
                <w:sz w:val="22"/>
              </w:rPr>
            </w:pPr>
            <w:r>
              <w:rPr>
                <w:rFonts w:hint="eastAsia" w:asciiTheme="minorEastAsia" w:hAnsiTheme="minorEastAsia"/>
                <w:sz w:val="22"/>
              </w:rPr>
              <w:t>项目名称</w:t>
            </w:r>
          </w:p>
        </w:tc>
        <w:tc>
          <w:tcPr>
            <w:tcW w:w="7214" w:type="dxa"/>
            <w:gridSpan w:val="2"/>
            <w:vAlign w:val="center"/>
          </w:tcPr>
          <w:p w14:paraId="67FADE92">
            <w:pPr>
              <w:spacing w:line="360" w:lineRule="auto"/>
              <w:jc w:val="both"/>
              <w:rPr>
                <w:rFonts w:hint="eastAsia" w:asciiTheme="minorEastAsia" w:hAnsiTheme="minorEastAsia"/>
                <w:sz w:val="22"/>
              </w:rPr>
            </w:pPr>
            <w:r>
              <w:rPr>
                <w:rFonts w:hint="eastAsia" w:cs="Times New Roman" w:asciiTheme="minorEastAsia" w:hAnsiTheme="minorEastAsia"/>
                <w:kern w:val="0"/>
                <w:sz w:val="24"/>
                <w:szCs w:val="24"/>
                <w:lang w:bidi="en-US"/>
              </w:rPr>
              <w:t>【</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Times New Roman" w:asciiTheme="minorEastAsia" w:hAnsiTheme="minorEastAsia"/>
                <w:kern w:val="0"/>
                <w:sz w:val="24"/>
                <w:szCs w:val="24"/>
                <w:lang w:bidi="en-US"/>
              </w:rPr>
              <w:t>】项目</w:t>
            </w:r>
          </w:p>
        </w:tc>
      </w:tr>
      <w:tr w14:paraId="0A75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077" w:type="dxa"/>
            <w:gridSpan w:val="2"/>
            <w:vAlign w:val="center"/>
          </w:tcPr>
          <w:p w14:paraId="1DAA825B">
            <w:pPr>
              <w:spacing w:line="360" w:lineRule="auto"/>
              <w:ind w:firstLine="1100" w:firstLineChars="500"/>
              <w:rPr>
                <w:rFonts w:hint="eastAsia" w:asciiTheme="minorEastAsia" w:hAnsiTheme="minorEastAsia"/>
                <w:sz w:val="22"/>
              </w:rPr>
            </w:pPr>
            <w:r>
              <w:rPr>
                <w:rFonts w:hint="eastAsia" w:asciiTheme="minorEastAsia" w:hAnsiTheme="minorEastAsia"/>
                <w:sz w:val="22"/>
              </w:rPr>
              <w:t>潜在供应商名称</w:t>
            </w:r>
          </w:p>
        </w:tc>
        <w:tc>
          <w:tcPr>
            <w:tcW w:w="4395" w:type="dxa"/>
            <w:vAlign w:val="center"/>
          </w:tcPr>
          <w:p w14:paraId="3157A584">
            <w:pPr>
              <w:spacing w:line="360" w:lineRule="auto"/>
              <w:rPr>
                <w:rFonts w:hint="eastAsia" w:asciiTheme="minorEastAsia" w:hAnsiTheme="minorEastAsia" w:cstheme="minorHAnsi"/>
                <w:sz w:val="22"/>
                <w:szCs w:val="18"/>
              </w:rPr>
            </w:pPr>
            <w:r>
              <w:rPr>
                <w:rFonts w:hint="eastAsia" w:asciiTheme="minorEastAsia" w:hAnsiTheme="minorEastAsia"/>
                <w:sz w:val="22"/>
              </w:rPr>
              <w:t>法定代表人或授权代表签字并加盖公章</w:t>
            </w:r>
          </w:p>
        </w:tc>
      </w:tr>
      <w:tr w14:paraId="1183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4077" w:type="dxa"/>
            <w:gridSpan w:val="2"/>
            <w:vAlign w:val="center"/>
          </w:tcPr>
          <w:p w14:paraId="5984FED3">
            <w:pPr>
              <w:spacing w:line="360" w:lineRule="auto"/>
              <w:ind w:firstLine="440"/>
              <w:jc w:val="center"/>
              <w:rPr>
                <w:rFonts w:hint="eastAsia" w:asciiTheme="minorEastAsia" w:hAnsiTheme="minorEastAsia"/>
                <w:sz w:val="22"/>
              </w:rPr>
            </w:pPr>
          </w:p>
        </w:tc>
        <w:tc>
          <w:tcPr>
            <w:tcW w:w="4395" w:type="dxa"/>
            <w:vAlign w:val="center"/>
          </w:tcPr>
          <w:p w14:paraId="5E30CF0D">
            <w:pPr>
              <w:spacing w:line="360" w:lineRule="auto"/>
              <w:ind w:firstLine="440"/>
              <w:jc w:val="center"/>
              <w:rPr>
                <w:rFonts w:hint="eastAsia" w:asciiTheme="minorEastAsia" w:hAnsiTheme="minorEastAsia"/>
                <w:sz w:val="22"/>
              </w:rPr>
            </w:pPr>
          </w:p>
        </w:tc>
      </w:tr>
    </w:tbl>
    <w:p w14:paraId="0F888DA5">
      <w:pPr>
        <w:spacing w:line="360" w:lineRule="auto"/>
        <w:jc w:val="left"/>
        <w:rPr>
          <w:rFonts w:hint="eastAsia" w:asciiTheme="minorEastAsia" w:hAnsiTheme="minorEastAsia"/>
          <w:b/>
          <w:sz w:val="28"/>
          <w:szCs w:val="28"/>
        </w:rPr>
      </w:pPr>
      <w:bookmarkStart w:id="103" w:name="_Toc389642126"/>
    </w:p>
    <w:p w14:paraId="04AEA0E0">
      <w:pPr>
        <w:spacing w:line="360" w:lineRule="auto"/>
        <w:jc w:val="left"/>
        <w:rPr>
          <w:rFonts w:hint="eastAsia" w:asciiTheme="minorEastAsia" w:hAnsiTheme="minorEastAsia"/>
          <w:b/>
          <w:sz w:val="28"/>
          <w:szCs w:val="28"/>
        </w:rPr>
      </w:pPr>
      <w:r>
        <w:rPr>
          <w:rFonts w:hint="eastAsia" w:asciiTheme="minorEastAsia" w:hAnsiTheme="minorEastAsia"/>
          <w:b/>
          <w:sz w:val="28"/>
          <w:szCs w:val="28"/>
        </w:rPr>
        <w:t>4</w:t>
      </w:r>
      <w:r>
        <w:rPr>
          <w:rFonts w:asciiTheme="minorEastAsia" w:hAnsiTheme="minorEastAsia"/>
          <w:b/>
          <w:sz w:val="28"/>
          <w:szCs w:val="28"/>
        </w:rPr>
        <w:t>.3</w:t>
      </w:r>
      <w:bookmarkEnd w:id="103"/>
      <w:r>
        <w:rPr>
          <w:rFonts w:hint="eastAsia" w:asciiTheme="minorEastAsia" w:hAnsiTheme="minorEastAsia"/>
          <w:b/>
          <w:sz w:val="28"/>
          <w:szCs w:val="28"/>
        </w:rPr>
        <w:t>报价一览表</w:t>
      </w:r>
    </w:p>
    <w:p w14:paraId="3A5E721D">
      <w:pPr>
        <w:spacing w:line="360" w:lineRule="auto"/>
        <w:ind w:firstLine="199" w:firstLineChars="83"/>
        <w:jc w:val="left"/>
        <w:rPr>
          <w:rFonts w:hint="eastAsia" w:asciiTheme="minorEastAsia" w:hAnsiTheme="minorEastAsia"/>
          <w:sz w:val="24"/>
          <w:szCs w:val="24"/>
        </w:rPr>
      </w:pPr>
      <w:r>
        <w:rPr>
          <w:rFonts w:hint="eastAsia" w:asciiTheme="minorEastAsia" w:hAnsiTheme="minorEastAsia"/>
          <w:sz w:val="24"/>
          <w:szCs w:val="24"/>
        </w:rPr>
        <w:t>项目名称：【</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asciiTheme="minorEastAsia" w:hAnsiTheme="minorEastAsia"/>
          <w:sz w:val="24"/>
          <w:szCs w:val="24"/>
        </w:rPr>
        <w:t>】</w:t>
      </w:r>
    </w:p>
    <w:p w14:paraId="544C99FA">
      <w:pPr>
        <w:spacing w:line="360" w:lineRule="auto"/>
        <w:ind w:firstLine="199" w:firstLineChars="83"/>
        <w:jc w:val="left"/>
        <w:rPr>
          <w:rFonts w:hint="eastAsia" w:asciiTheme="minorEastAsia" w:hAnsiTheme="minorEastAsia"/>
          <w:sz w:val="24"/>
          <w:szCs w:val="24"/>
        </w:rPr>
      </w:pPr>
      <w:r>
        <w:rPr>
          <w:rFonts w:hint="eastAsia" w:asciiTheme="minorEastAsia" w:hAnsiTheme="minorEastAsia"/>
          <w:sz w:val="24"/>
          <w:szCs w:val="24"/>
        </w:rPr>
        <w:t>供应商名称：【】</w:t>
      </w:r>
    </w:p>
    <w:p w14:paraId="19BBE4B0">
      <w:pPr>
        <w:spacing w:line="360" w:lineRule="auto"/>
        <w:ind w:firstLine="199" w:firstLineChars="83"/>
        <w:jc w:val="left"/>
        <w:rPr>
          <w:rFonts w:hint="eastAsia" w:asciiTheme="minorEastAsia" w:hAnsiTheme="minorEastAsia"/>
          <w:sz w:val="24"/>
          <w:szCs w:val="24"/>
        </w:rPr>
      </w:pPr>
    </w:p>
    <w:tbl>
      <w:tblPr>
        <w:tblStyle w:val="77"/>
        <w:tblW w:w="8969" w:type="dxa"/>
        <w:tblInd w:w="250" w:type="dxa"/>
        <w:tblLayout w:type="fixed"/>
        <w:tblCellMar>
          <w:top w:w="0" w:type="dxa"/>
          <w:left w:w="108" w:type="dxa"/>
          <w:bottom w:w="0" w:type="dxa"/>
          <w:right w:w="108" w:type="dxa"/>
        </w:tblCellMar>
      </w:tblPr>
      <w:tblGrid>
        <w:gridCol w:w="1280"/>
        <w:gridCol w:w="1039"/>
        <w:gridCol w:w="1707"/>
        <w:gridCol w:w="1707"/>
        <w:gridCol w:w="1742"/>
        <w:gridCol w:w="1494"/>
      </w:tblGrid>
      <w:tr w14:paraId="39062BD7">
        <w:tblPrEx>
          <w:tblCellMar>
            <w:top w:w="0" w:type="dxa"/>
            <w:left w:w="108" w:type="dxa"/>
            <w:bottom w:w="0" w:type="dxa"/>
            <w:right w:w="108" w:type="dxa"/>
          </w:tblCellMar>
        </w:tblPrEx>
        <w:trPr>
          <w:trHeight w:val="623" w:hRule="atLeast"/>
        </w:trPr>
        <w:tc>
          <w:tcPr>
            <w:tcW w:w="1280" w:type="dxa"/>
            <w:tcBorders>
              <w:top w:val="single" w:color="auto" w:sz="8" w:space="0"/>
              <w:left w:val="single" w:color="auto" w:sz="8" w:space="0"/>
              <w:bottom w:val="single" w:color="auto" w:sz="4" w:space="0"/>
              <w:right w:val="single" w:color="auto" w:sz="4" w:space="0"/>
            </w:tcBorders>
            <w:noWrap/>
            <w:vAlign w:val="center"/>
          </w:tcPr>
          <w:p w14:paraId="5840F7BF">
            <w:pPr>
              <w:widowControl/>
              <w:spacing w:line="360" w:lineRule="auto"/>
              <w:jc w:val="center"/>
              <w:rPr>
                <w:rFonts w:hint="eastAsia" w:cs="宋体" w:asciiTheme="minorEastAsia" w:hAnsiTheme="minorEastAsia"/>
                <w:kern w:val="0"/>
                <w:sz w:val="22"/>
              </w:rPr>
            </w:pPr>
            <w:r>
              <w:rPr>
                <w:rFonts w:hint="eastAsia" w:cs="宋体" w:asciiTheme="minorEastAsia" w:hAnsiTheme="minorEastAsia"/>
                <w:kern w:val="0"/>
                <w:sz w:val="22"/>
              </w:rPr>
              <w:t>产品名称</w:t>
            </w:r>
          </w:p>
        </w:tc>
        <w:tc>
          <w:tcPr>
            <w:tcW w:w="1039" w:type="dxa"/>
            <w:tcBorders>
              <w:top w:val="single" w:color="auto" w:sz="8" w:space="0"/>
              <w:left w:val="nil"/>
              <w:bottom w:val="single" w:color="auto" w:sz="4" w:space="0"/>
              <w:right w:val="single" w:color="auto" w:sz="4" w:space="0"/>
            </w:tcBorders>
            <w:noWrap/>
            <w:vAlign w:val="center"/>
          </w:tcPr>
          <w:p w14:paraId="4F6D42FC">
            <w:pPr>
              <w:widowControl/>
              <w:spacing w:line="360" w:lineRule="auto"/>
              <w:ind w:left="-1"/>
              <w:jc w:val="center"/>
              <w:rPr>
                <w:rFonts w:hint="eastAsia" w:cs="宋体" w:asciiTheme="minorEastAsia" w:hAnsiTheme="minorEastAsia"/>
                <w:kern w:val="0"/>
                <w:sz w:val="22"/>
              </w:rPr>
            </w:pPr>
            <w:r>
              <w:rPr>
                <w:rFonts w:hint="eastAsia" w:cs="宋体" w:asciiTheme="minorEastAsia" w:hAnsiTheme="minorEastAsia"/>
                <w:kern w:val="0"/>
                <w:sz w:val="22"/>
              </w:rPr>
              <w:t>数量</w:t>
            </w:r>
          </w:p>
        </w:tc>
        <w:tc>
          <w:tcPr>
            <w:tcW w:w="1707" w:type="dxa"/>
            <w:tcBorders>
              <w:top w:val="single" w:color="auto" w:sz="8" w:space="0"/>
              <w:left w:val="nil"/>
              <w:bottom w:val="single" w:color="auto" w:sz="4" w:space="0"/>
              <w:right w:val="single" w:color="auto" w:sz="4" w:space="0"/>
            </w:tcBorders>
            <w:noWrap/>
            <w:vAlign w:val="center"/>
          </w:tcPr>
          <w:p w14:paraId="2DAFAD44">
            <w:pPr>
              <w:widowControl/>
              <w:spacing w:line="360" w:lineRule="auto"/>
              <w:ind w:left="220" w:hanging="220" w:hangingChars="100"/>
              <w:jc w:val="center"/>
              <w:rPr>
                <w:rFonts w:hint="eastAsia" w:cs="宋体" w:asciiTheme="minorEastAsia" w:hAnsiTheme="minorEastAsia"/>
                <w:kern w:val="0"/>
                <w:sz w:val="22"/>
              </w:rPr>
            </w:pPr>
            <w:r>
              <w:rPr>
                <w:rFonts w:hint="eastAsia" w:cs="宋体" w:asciiTheme="minorEastAsia" w:hAnsiTheme="minorEastAsia"/>
                <w:kern w:val="0"/>
                <w:sz w:val="22"/>
              </w:rPr>
              <w:t>内部议标报价</w:t>
            </w:r>
          </w:p>
          <w:p w14:paraId="4796DCE0">
            <w:pPr>
              <w:widowControl/>
              <w:spacing w:line="360" w:lineRule="auto"/>
              <w:ind w:left="220" w:hanging="220" w:hangingChars="100"/>
              <w:rPr>
                <w:rFonts w:hint="eastAsia" w:cs="宋体" w:asciiTheme="minorEastAsia" w:hAnsiTheme="minorEastAsia"/>
                <w:kern w:val="0"/>
                <w:sz w:val="22"/>
              </w:rPr>
            </w:pPr>
            <w:r>
              <w:rPr>
                <w:rFonts w:cs="宋体" w:asciiTheme="minorEastAsia" w:hAnsiTheme="minorEastAsia"/>
                <w:kern w:val="0"/>
                <w:sz w:val="22"/>
              </w:rPr>
              <w:t xml:space="preserve">  (人民币元)</w:t>
            </w:r>
          </w:p>
        </w:tc>
        <w:tc>
          <w:tcPr>
            <w:tcW w:w="1707" w:type="dxa"/>
            <w:tcBorders>
              <w:top w:val="single" w:color="auto" w:sz="8" w:space="0"/>
              <w:left w:val="nil"/>
              <w:bottom w:val="single" w:color="auto" w:sz="4" w:space="0"/>
              <w:right w:val="single" w:color="auto" w:sz="8" w:space="0"/>
            </w:tcBorders>
            <w:noWrap/>
            <w:vAlign w:val="center"/>
          </w:tcPr>
          <w:p w14:paraId="01A448AF">
            <w:pPr>
              <w:widowControl/>
              <w:spacing w:line="360" w:lineRule="auto"/>
              <w:jc w:val="center"/>
              <w:rPr>
                <w:rFonts w:hint="eastAsia" w:cs="宋体" w:asciiTheme="minorEastAsia" w:hAnsiTheme="minorEastAsia"/>
                <w:kern w:val="0"/>
                <w:sz w:val="22"/>
              </w:rPr>
            </w:pPr>
            <w:r>
              <w:rPr>
                <w:rFonts w:hint="eastAsia" w:cs="宋体" w:asciiTheme="minorEastAsia" w:hAnsiTheme="minorEastAsia"/>
                <w:kern w:val="0"/>
                <w:sz w:val="22"/>
              </w:rPr>
              <w:t>交货期</w:t>
            </w:r>
          </w:p>
        </w:tc>
        <w:tc>
          <w:tcPr>
            <w:tcW w:w="1742" w:type="dxa"/>
            <w:tcBorders>
              <w:top w:val="single" w:color="auto" w:sz="8" w:space="0"/>
              <w:left w:val="nil"/>
              <w:bottom w:val="single" w:color="auto" w:sz="4" w:space="0"/>
              <w:right w:val="single" w:color="auto" w:sz="8" w:space="0"/>
            </w:tcBorders>
            <w:vAlign w:val="center"/>
          </w:tcPr>
          <w:p w14:paraId="168503BF">
            <w:pPr>
              <w:widowControl/>
              <w:spacing w:line="360" w:lineRule="auto"/>
              <w:jc w:val="center"/>
              <w:rPr>
                <w:rFonts w:hint="eastAsia" w:cs="宋体" w:asciiTheme="minorEastAsia" w:hAnsiTheme="minorEastAsia"/>
                <w:kern w:val="0"/>
                <w:sz w:val="22"/>
              </w:rPr>
            </w:pPr>
            <w:r>
              <w:rPr>
                <w:rFonts w:hint="eastAsia" w:cs="宋体" w:asciiTheme="minorEastAsia" w:hAnsiTheme="minorEastAsia"/>
                <w:kern w:val="0"/>
                <w:sz w:val="22"/>
              </w:rPr>
              <w:t>质量保证期</w:t>
            </w:r>
          </w:p>
        </w:tc>
        <w:tc>
          <w:tcPr>
            <w:tcW w:w="1494" w:type="dxa"/>
            <w:tcBorders>
              <w:top w:val="single" w:color="auto" w:sz="8" w:space="0"/>
              <w:left w:val="nil"/>
              <w:bottom w:val="single" w:color="auto" w:sz="4" w:space="0"/>
              <w:right w:val="single" w:color="auto" w:sz="8" w:space="0"/>
            </w:tcBorders>
            <w:vAlign w:val="center"/>
          </w:tcPr>
          <w:p w14:paraId="07ED6346">
            <w:pPr>
              <w:widowControl/>
              <w:spacing w:line="360" w:lineRule="auto"/>
              <w:jc w:val="center"/>
              <w:rPr>
                <w:rFonts w:hint="eastAsia" w:cs="宋体" w:asciiTheme="minorEastAsia" w:hAnsiTheme="minorEastAsia"/>
                <w:kern w:val="0"/>
                <w:sz w:val="22"/>
              </w:rPr>
            </w:pPr>
            <w:r>
              <w:rPr>
                <w:rFonts w:hint="eastAsia" w:cs="宋体" w:asciiTheme="minorEastAsia" w:hAnsiTheme="minorEastAsia"/>
                <w:kern w:val="0"/>
                <w:sz w:val="22"/>
              </w:rPr>
              <w:t>投标声明</w:t>
            </w:r>
          </w:p>
        </w:tc>
      </w:tr>
      <w:tr w14:paraId="52AF0339">
        <w:tblPrEx>
          <w:tblCellMar>
            <w:top w:w="0" w:type="dxa"/>
            <w:left w:w="108" w:type="dxa"/>
            <w:bottom w:w="0" w:type="dxa"/>
            <w:right w:w="108" w:type="dxa"/>
          </w:tblCellMar>
        </w:tblPrEx>
        <w:trPr>
          <w:trHeight w:val="893" w:hRule="atLeast"/>
        </w:trPr>
        <w:tc>
          <w:tcPr>
            <w:tcW w:w="1280" w:type="dxa"/>
            <w:tcBorders>
              <w:top w:val="nil"/>
              <w:left w:val="single" w:color="auto" w:sz="8" w:space="0"/>
              <w:bottom w:val="single" w:color="auto" w:sz="4" w:space="0"/>
              <w:right w:val="single" w:color="auto" w:sz="4" w:space="0"/>
            </w:tcBorders>
            <w:noWrap/>
            <w:vAlign w:val="center"/>
          </w:tcPr>
          <w:p w14:paraId="3CCCAA2A">
            <w:pPr>
              <w:widowControl/>
              <w:spacing w:line="360" w:lineRule="auto"/>
              <w:ind w:right="440"/>
              <w:jc w:val="both"/>
              <w:rPr>
                <w:rFonts w:hint="eastAsia" w:cs="宋体" w:asciiTheme="minorEastAsia" w:hAnsiTheme="minorEastAsia"/>
                <w:kern w:val="0"/>
                <w:sz w:val="22"/>
              </w:rPr>
            </w:pPr>
          </w:p>
        </w:tc>
        <w:tc>
          <w:tcPr>
            <w:tcW w:w="1039" w:type="dxa"/>
            <w:tcBorders>
              <w:top w:val="nil"/>
              <w:left w:val="nil"/>
              <w:bottom w:val="single" w:color="auto" w:sz="4" w:space="0"/>
              <w:right w:val="single" w:color="auto" w:sz="4" w:space="0"/>
            </w:tcBorders>
            <w:noWrap/>
            <w:vAlign w:val="center"/>
          </w:tcPr>
          <w:p w14:paraId="12A8E155">
            <w:pPr>
              <w:widowControl/>
              <w:spacing w:line="360" w:lineRule="auto"/>
              <w:ind w:firstLine="198" w:firstLineChars="90"/>
              <w:jc w:val="left"/>
              <w:rPr>
                <w:rFonts w:hint="eastAsia" w:cs="宋体" w:asciiTheme="minorEastAsia" w:hAnsiTheme="minorEastAsia"/>
                <w:kern w:val="0"/>
                <w:sz w:val="22"/>
              </w:rPr>
            </w:pPr>
          </w:p>
        </w:tc>
        <w:tc>
          <w:tcPr>
            <w:tcW w:w="1707" w:type="dxa"/>
            <w:tcBorders>
              <w:top w:val="nil"/>
              <w:left w:val="nil"/>
              <w:bottom w:val="single" w:color="auto" w:sz="4" w:space="0"/>
              <w:right w:val="single" w:color="auto" w:sz="4" w:space="0"/>
            </w:tcBorders>
            <w:noWrap/>
            <w:vAlign w:val="center"/>
          </w:tcPr>
          <w:p w14:paraId="73D925B6">
            <w:pPr>
              <w:widowControl/>
              <w:spacing w:line="360" w:lineRule="auto"/>
              <w:jc w:val="both"/>
              <w:rPr>
                <w:rFonts w:hint="eastAsia" w:cs="宋体" w:asciiTheme="minorEastAsia" w:hAnsiTheme="minorEastAsia"/>
                <w:kern w:val="0"/>
                <w:sz w:val="22"/>
                <w:szCs w:val="18"/>
              </w:rPr>
            </w:pPr>
          </w:p>
        </w:tc>
        <w:tc>
          <w:tcPr>
            <w:tcW w:w="1707" w:type="dxa"/>
            <w:tcBorders>
              <w:top w:val="nil"/>
              <w:left w:val="nil"/>
              <w:bottom w:val="single" w:color="auto" w:sz="4" w:space="0"/>
              <w:right w:val="single" w:color="auto" w:sz="8" w:space="0"/>
            </w:tcBorders>
            <w:noWrap/>
            <w:vAlign w:val="center"/>
          </w:tcPr>
          <w:p w14:paraId="6C889AEB">
            <w:pPr>
              <w:widowControl/>
              <w:spacing w:line="360" w:lineRule="auto"/>
              <w:jc w:val="both"/>
              <w:rPr>
                <w:rFonts w:hint="eastAsia" w:cs="宋体" w:asciiTheme="minorEastAsia" w:hAnsiTheme="minorEastAsia"/>
                <w:kern w:val="0"/>
                <w:sz w:val="22"/>
                <w:szCs w:val="18"/>
              </w:rPr>
            </w:pPr>
          </w:p>
        </w:tc>
        <w:tc>
          <w:tcPr>
            <w:tcW w:w="1742" w:type="dxa"/>
            <w:tcBorders>
              <w:top w:val="nil"/>
              <w:left w:val="nil"/>
              <w:bottom w:val="single" w:color="auto" w:sz="4" w:space="0"/>
              <w:right w:val="single" w:color="auto" w:sz="8" w:space="0"/>
            </w:tcBorders>
            <w:vAlign w:val="center"/>
          </w:tcPr>
          <w:p w14:paraId="4FAC277A">
            <w:pPr>
              <w:widowControl/>
              <w:spacing w:line="360" w:lineRule="auto"/>
              <w:jc w:val="both"/>
              <w:rPr>
                <w:rFonts w:hint="eastAsia" w:cs="宋体" w:asciiTheme="minorEastAsia" w:hAnsiTheme="minorEastAsia"/>
                <w:kern w:val="0"/>
                <w:sz w:val="22"/>
              </w:rPr>
            </w:pPr>
          </w:p>
        </w:tc>
        <w:tc>
          <w:tcPr>
            <w:tcW w:w="1494" w:type="dxa"/>
            <w:tcBorders>
              <w:top w:val="nil"/>
              <w:left w:val="nil"/>
              <w:bottom w:val="single" w:color="auto" w:sz="4" w:space="0"/>
              <w:right w:val="single" w:color="auto" w:sz="8" w:space="0"/>
            </w:tcBorders>
            <w:vAlign w:val="center"/>
          </w:tcPr>
          <w:p w14:paraId="1A7341C6">
            <w:pPr>
              <w:widowControl/>
              <w:spacing w:line="360" w:lineRule="auto"/>
              <w:jc w:val="left"/>
              <w:rPr>
                <w:rFonts w:hint="eastAsia" w:cs="宋体" w:asciiTheme="minorEastAsia" w:hAnsiTheme="minorEastAsia"/>
                <w:kern w:val="0"/>
                <w:sz w:val="22"/>
                <w:szCs w:val="18"/>
              </w:rPr>
            </w:pPr>
          </w:p>
        </w:tc>
      </w:tr>
    </w:tbl>
    <w:p w14:paraId="1F1B87B0">
      <w:pPr>
        <w:spacing w:line="360" w:lineRule="auto"/>
        <w:jc w:val="left"/>
        <w:rPr>
          <w:rFonts w:hint="eastAsia" w:asciiTheme="minorEastAsia" w:hAnsiTheme="minorEastAsia"/>
          <w:sz w:val="24"/>
          <w:szCs w:val="24"/>
        </w:rPr>
      </w:pPr>
      <w:r>
        <w:rPr>
          <w:rFonts w:hint="eastAsia" w:asciiTheme="minorEastAsia" w:hAnsiTheme="minorEastAsia"/>
          <w:sz w:val="24"/>
          <w:szCs w:val="24"/>
        </w:rPr>
        <w:t>注：</w:t>
      </w:r>
    </w:p>
    <w:p w14:paraId="7E312694">
      <w:pPr>
        <w:spacing w:line="360" w:lineRule="auto"/>
        <w:ind w:firstLine="480"/>
        <w:rPr>
          <w:rFonts w:hint="eastAsia" w:asciiTheme="minorEastAsia" w:hAnsiTheme="minorEastAsia"/>
          <w:sz w:val="24"/>
          <w:szCs w:val="24"/>
        </w:rPr>
      </w:pPr>
      <w:r>
        <w:rPr>
          <w:rFonts w:hint="eastAsia" w:asciiTheme="minorEastAsia" w:hAnsiTheme="minorEastAsia"/>
          <w:sz w:val="24"/>
          <w:szCs w:val="24"/>
        </w:rPr>
        <w:t>1、上述报价包括完成本项目所需的全部费用。</w:t>
      </w:r>
    </w:p>
    <w:p w14:paraId="3EA1EC15">
      <w:pPr>
        <w:spacing w:line="360" w:lineRule="auto"/>
        <w:ind w:firstLine="480"/>
        <w:rPr>
          <w:rFonts w:hint="eastAsia" w:asciiTheme="minorEastAsia" w:hAnsiTheme="minorEastAsia"/>
          <w:sz w:val="24"/>
          <w:szCs w:val="24"/>
        </w:rPr>
      </w:pPr>
      <w:r>
        <w:rPr>
          <w:rFonts w:hint="eastAsia" w:asciiTheme="minorEastAsia" w:hAnsiTheme="minorEastAsia"/>
          <w:sz w:val="24"/>
          <w:szCs w:val="24"/>
        </w:rPr>
        <w:t>2、上述报价是含13%增值税的价格。</w:t>
      </w:r>
    </w:p>
    <w:p w14:paraId="64EAC641">
      <w:pPr>
        <w:spacing w:line="360" w:lineRule="auto"/>
        <w:ind w:firstLine="480"/>
        <w:rPr>
          <w:rFonts w:hint="eastAsia" w:asciiTheme="minorEastAsia" w:hAnsiTheme="minorEastAsia"/>
          <w:sz w:val="24"/>
          <w:szCs w:val="24"/>
        </w:rPr>
      </w:pPr>
      <w:r>
        <w:rPr>
          <w:rFonts w:hint="eastAsia" w:asciiTheme="minorEastAsia" w:hAnsiTheme="minorEastAsia"/>
          <w:sz w:val="24"/>
          <w:szCs w:val="24"/>
        </w:rPr>
        <w:t>3、报价货币为人民币。</w:t>
      </w:r>
    </w:p>
    <w:p w14:paraId="1DC4A9A5">
      <w:pPr>
        <w:spacing w:line="360" w:lineRule="auto"/>
        <w:ind w:firstLine="480"/>
        <w:rPr>
          <w:rFonts w:hint="eastAsia" w:asciiTheme="minorEastAsia" w:hAnsiTheme="minorEastAsia"/>
          <w:sz w:val="24"/>
          <w:szCs w:val="24"/>
        </w:rPr>
      </w:pPr>
    </w:p>
    <w:p w14:paraId="1CACE65A">
      <w:pPr>
        <w:spacing w:line="360" w:lineRule="auto"/>
        <w:ind w:firstLine="480"/>
        <w:rPr>
          <w:rFonts w:hint="eastAsia" w:asciiTheme="minorEastAsia" w:hAnsiTheme="minorEastAsia"/>
          <w:sz w:val="24"/>
          <w:szCs w:val="24"/>
        </w:rPr>
      </w:pPr>
    </w:p>
    <w:p w14:paraId="300DC225">
      <w:pPr>
        <w:spacing w:line="360" w:lineRule="auto"/>
        <w:ind w:firstLine="480"/>
        <w:rPr>
          <w:rFonts w:hint="eastAsia" w:asciiTheme="minorEastAsia" w:hAnsiTheme="minorEastAsia"/>
          <w:sz w:val="24"/>
          <w:szCs w:val="24"/>
        </w:rPr>
      </w:pPr>
    </w:p>
    <w:p w14:paraId="1ADDC8CE">
      <w:pPr>
        <w:spacing w:line="360" w:lineRule="auto"/>
        <w:ind w:firstLine="4560" w:firstLineChars="1900"/>
        <w:rPr>
          <w:rFonts w:hint="eastAsia" w:asciiTheme="minorEastAsia" w:hAnsiTheme="minorEastAsia"/>
          <w:sz w:val="24"/>
        </w:rPr>
      </w:pPr>
      <w:r>
        <w:rPr>
          <w:rFonts w:hint="eastAsia" w:asciiTheme="minorEastAsia" w:hAnsiTheme="minorEastAsia"/>
          <w:sz w:val="24"/>
        </w:rPr>
        <w:t>投标人名称（加盖公章）：</w:t>
      </w:r>
    </w:p>
    <w:p w14:paraId="496D45A0">
      <w:pPr>
        <w:spacing w:line="360" w:lineRule="auto"/>
        <w:ind w:firstLine="4516" w:firstLineChars="1882"/>
        <w:rPr>
          <w:rFonts w:hint="eastAsia" w:asciiTheme="minorEastAsia" w:hAnsiTheme="minorEastAsia"/>
          <w:sz w:val="24"/>
          <w:u w:val="single"/>
        </w:rPr>
      </w:pPr>
      <w:r>
        <w:rPr>
          <w:rFonts w:hint="eastAsia" w:asciiTheme="minorEastAsia" w:hAnsiTheme="minorEastAsia"/>
          <w:sz w:val="24"/>
        </w:rPr>
        <w:t>法定代表人</w:t>
      </w:r>
      <w:r>
        <w:rPr>
          <w:rFonts w:asciiTheme="minorEastAsia" w:hAnsiTheme="minorEastAsia"/>
          <w:sz w:val="24"/>
        </w:rPr>
        <w:t>/授权代表（签字）：</w:t>
      </w:r>
    </w:p>
    <w:p w14:paraId="0014ED36">
      <w:pPr>
        <w:spacing w:line="360" w:lineRule="auto"/>
        <w:ind w:firstLine="4560" w:firstLineChars="1900"/>
        <w:rPr>
          <w:rFonts w:hint="eastAsia" w:asciiTheme="minorEastAsia" w:hAnsiTheme="minorEastAsia"/>
          <w:sz w:val="24"/>
          <w:u w:val="single"/>
        </w:rPr>
      </w:pPr>
      <w:r>
        <w:rPr>
          <w:rFonts w:hint="eastAsia" w:asciiTheme="minorEastAsia" w:hAnsiTheme="minorEastAsia"/>
          <w:sz w:val="24"/>
        </w:rPr>
        <w:t>日期：年月日</w:t>
      </w:r>
    </w:p>
    <w:p w14:paraId="3DDCDB2D">
      <w:pPr>
        <w:spacing w:line="360" w:lineRule="auto"/>
        <w:ind w:firstLine="420"/>
        <w:rPr>
          <w:rFonts w:hint="eastAsia" w:asciiTheme="minorEastAsia" w:hAnsiTheme="minorEastAsia"/>
        </w:rPr>
      </w:pPr>
    </w:p>
    <w:p w14:paraId="5CD12DC8">
      <w:pPr>
        <w:spacing w:line="360" w:lineRule="auto"/>
        <w:ind w:firstLine="199" w:firstLineChars="83"/>
        <w:jc w:val="left"/>
        <w:rPr>
          <w:rFonts w:hint="eastAsia" w:asciiTheme="minorEastAsia" w:hAnsiTheme="minorEastAsia"/>
          <w:sz w:val="24"/>
          <w:szCs w:val="24"/>
        </w:rPr>
      </w:pPr>
    </w:p>
    <w:p w14:paraId="5FD6305D">
      <w:pPr>
        <w:spacing w:line="360" w:lineRule="auto"/>
        <w:ind w:firstLine="420"/>
        <w:rPr>
          <w:rFonts w:hint="eastAsia" w:asciiTheme="minorEastAsia" w:hAnsiTheme="minorEastAsia"/>
        </w:rPr>
      </w:pPr>
    </w:p>
    <w:p w14:paraId="370A5067">
      <w:pPr>
        <w:spacing w:line="360" w:lineRule="auto"/>
        <w:ind w:firstLine="420"/>
        <w:rPr>
          <w:rFonts w:hint="eastAsia" w:asciiTheme="minorEastAsia" w:hAnsiTheme="minorEastAsia"/>
        </w:rPr>
      </w:pPr>
    </w:p>
    <w:p w14:paraId="21BB597C">
      <w:pPr>
        <w:spacing w:line="360" w:lineRule="auto"/>
        <w:ind w:firstLine="420"/>
        <w:rPr>
          <w:rFonts w:hint="eastAsia" w:asciiTheme="minorEastAsia" w:hAnsiTheme="minorEastAsia"/>
        </w:rPr>
      </w:pPr>
    </w:p>
    <w:p w14:paraId="2B64AA43">
      <w:pPr>
        <w:spacing w:line="360" w:lineRule="auto"/>
        <w:ind w:firstLine="420"/>
        <w:rPr>
          <w:rFonts w:hint="eastAsia" w:asciiTheme="minorEastAsia" w:hAnsiTheme="minorEastAsia"/>
        </w:rPr>
      </w:pPr>
    </w:p>
    <w:p w14:paraId="4FE4995E">
      <w:pPr>
        <w:spacing w:line="360" w:lineRule="auto"/>
        <w:ind w:firstLine="420"/>
        <w:rPr>
          <w:rFonts w:hint="eastAsia" w:asciiTheme="minorEastAsia" w:hAnsiTheme="minorEastAsia"/>
        </w:rPr>
      </w:pPr>
    </w:p>
    <w:p w14:paraId="0FDC7A80">
      <w:pPr>
        <w:spacing w:line="360" w:lineRule="auto"/>
        <w:ind w:firstLine="420"/>
        <w:rPr>
          <w:rFonts w:hint="eastAsia" w:asciiTheme="minorEastAsia" w:hAnsiTheme="minorEastAsia"/>
        </w:rPr>
      </w:pPr>
    </w:p>
    <w:p w14:paraId="185441B1">
      <w:pPr>
        <w:spacing w:line="360" w:lineRule="auto"/>
        <w:ind w:firstLine="420"/>
        <w:rPr>
          <w:rFonts w:hint="eastAsia" w:asciiTheme="minorEastAsia" w:hAnsiTheme="minorEastAsia"/>
        </w:rPr>
      </w:pPr>
    </w:p>
    <w:p w14:paraId="7368D7D3">
      <w:pPr>
        <w:spacing w:line="360" w:lineRule="auto"/>
        <w:jc w:val="left"/>
        <w:rPr>
          <w:rFonts w:hint="eastAsia" w:asciiTheme="minorEastAsia" w:hAnsiTheme="minorEastAsia"/>
          <w:b/>
          <w:sz w:val="28"/>
          <w:szCs w:val="28"/>
        </w:rPr>
        <w:sectPr>
          <w:headerReference r:id="rId13" w:type="default"/>
          <w:pgSz w:w="11906" w:h="16838"/>
          <w:pgMar w:top="1440" w:right="1418" w:bottom="1440" w:left="1418" w:header="851" w:footer="992" w:gutter="0"/>
          <w:cols w:space="425" w:num="1"/>
          <w:docGrid w:type="lines" w:linePitch="312" w:charSpace="0"/>
        </w:sectPr>
      </w:pPr>
      <w:bookmarkStart w:id="104" w:name="_Toc389642128"/>
    </w:p>
    <w:p w14:paraId="182CA028">
      <w:pPr>
        <w:spacing w:line="360" w:lineRule="auto"/>
        <w:jc w:val="left"/>
        <w:rPr>
          <w:rFonts w:hint="eastAsia" w:asciiTheme="minorEastAsia" w:hAnsiTheme="minorEastAsia"/>
          <w:b/>
          <w:sz w:val="28"/>
          <w:szCs w:val="28"/>
        </w:rPr>
      </w:pPr>
      <w:r>
        <w:rPr>
          <w:rFonts w:hint="eastAsia" w:asciiTheme="minorEastAsia" w:hAnsiTheme="minorEastAsia"/>
          <w:b/>
          <w:sz w:val="28"/>
          <w:szCs w:val="28"/>
        </w:rPr>
        <w:t>4</w:t>
      </w:r>
      <w:r>
        <w:rPr>
          <w:rFonts w:asciiTheme="minorEastAsia" w:hAnsiTheme="minorEastAsia"/>
          <w:b/>
          <w:sz w:val="28"/>
          <w:szCs w:val="28"/>
        </w:rPr>
        <w:t>.4分项报价表</w:t>
      </w:r>
      <w:bookmarkEnd w:id="104"/>
    </w:p>
    <w:p w14:paraId="0308E498">
      <w:pPr>
        <w:spacing w:line="360" w:lineRule="auto"/>
        <w:ind w:firstLine="561"/>
        <w:jc w:val="center"/>
        <w:rPr>
          <w:rFonts w:hint="eastAsia" w:asciiTheme="minorEastAsia" w:hAnsiTheme="minorEastAsia"/>
          <w:b/>
          <w:sz w:val="28"/>
          <w:szCs w:val="28"/>
        </w:rPr>
      </w:pPr>
      <w:r>
        <w:rPr>
          <w:rFonts w:hint="eastAsia" w:asciiTheme="minorEastAsia" w:hAnsiTheme="minorEastAsia"/>
          <w:b/>
          <w:sz w:val="28"/>
          <w:szCs w:val="28"/>
        </w:rPr>
        <w:t>分项报价表</w:t>
      </w:r>
    </w:p>
    <w:p w14:paraId="07364854">
      <w:pPr>
        <w:spacing w:line="360" w:lineRule="auto"/>
        <w:rPr>
          <w:rFonts w:hint="eastAsia" w:asciiTheme="minorEastAsia" w:hAnsiTheme="minorEastAsia"/>
          <w:sz w:val="24"/>
          <w:szCs w:val="24"/>
        </w:rPr>
      </w:pPr>
      <w:r>
        <w:rPr>
          <w:rFonts w:hint="eastAsia" w:asciiTheme="minorEastAsia" w:hAnsiTheme="minorEastAsia"/>
          <w:sz w:val="24"/>
          <w:szCs w:val="24"/>
        </w:rPr>
        <w:t>项目名称：【</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asciiTheme="minorEastAsia" w:hAnsiTheme="minorEastAsia"/>
          <w:sz w:val="24"/>
          <w:szCs w:val="24"/>
        </w:rPr>
        <w:t>】</w:t>
      </w:r>
    </w:p>
    <w:tbl>
      <w:tblPr>
        <w:tblStyle w:val="77"/>
        <w:tblW w:w="136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2"/>
        <w:gridCol w:w="2092"/>
        <w:gridCol w:w="3741"/>
        <w:gridCol w:w="1116"/>
        <w:gridCol w:w="2771"/>
        <w:gridCol w:w="1725"/>
        <w:gridCol w:w="1539"/>
      </w:tblGrid>
      <w:tr w14:paraId="6BFBA4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672" w:type="dxa"/>
            <w:tcBorders>
              <w:top w:val="single" w:color="auto" w:sz="4" w:space="0"/>
              <w:left w:val="single" w:color="auto" w:sz="4" w:space="0"/>
              <w:bottom w:val="single" w:color="auto" w:sz="4" w:space="0"/>
              <w:right w:val="single" w:color="auto" w:sz="4" w:space="0"/>
            </w:tcBorders>
            <w:vAlign w:val="center"/>
          </w:tcPr>
          <w:p w14:paraId="48817F55">
            <w:pPr>
              <w:jc w:val="center"/>
              <w:rPr>
                <w:sz w:val="24"/>
              </w:rPr>
            </w:pPr>
            <w:r>
              <w:rPr>
                <w:rFonts w:hint="eastAsia"/>
                <w:sz w:val="24"/>
              </w:rPr>
              <w:t>序号</w:t>
            </w:r>
          </w:p>
        </w:tc>
        <w:tc>
          <w:tcPr>
            <w:tcW w:w="2092" w:type="dxa"/>
            <w:tcBorders>
              <w:top w:val="single" w:color="auto" w:sz="4" w:space="0"/>
              <w:left w:val="single" w:color="auto" w:sz="4" w:space="0"/>
              <w:bottom w:val="single" w:color="auto" w:sz="4" w:space="0"/>
              <w:right w:val="single" w:color="auto" w:sz="4" w:space="0"/>
            </w:tcBorders>
            <w:vAlign w:val="center"/>
          </w:tcPr>
          <w:p w14:paraId="2AFEAEEC">
            <w:pPr>
              <w:jc w:val="center"/>
              <w:rPr>
                <w:sz w:val="24"/>
              </w:rPr>
            </w:pPr>
            <w:r>
              <w:rPr>
                <w:rFonts w:hint="eastAsia"/>
                <w:sz w:val="24"/>
              </w:rPr>
              <w:t>名 称</w:t>
            </w:r>
          </w:p>
        </w:tc>
        <w:tc>
          <w:tcPr>
            <w:tcW w:w="3741" w:type="dxa"/>
            <w:tcBorders>
              <w:top w:val="single" w:color="auto" w:sz="4" w:space="0"/>
              <w:left w:val="single" w:color="auto" w:sz="4" w:space="0"/>
              <w:bottom w:val="single" w:color="auto" w:sz="4" w:space="0"/>
              <w:right w:val="single" w:color="auto" w:sz="4" w:space="0"/>
            </w:tcBorders>
            <w:vAlign w:val="center"/>
          </w:tcPr>
          <w:p w14:paraId="07895021">
            <w:pPr>
              <w:jc w:val="center"/>
              <w:rPr>
                <w:sz w:val="24"/>
              </w:rPr>
            </w:pPr>
            <w:r>
              <w:rPr>
                <w:rFonts w:hint="eastAsia"/>
                <w:sz w:val="24"/>
              </w:rPr>
              <w:t>品牌、型号和规格</w:t>
            </w:r>
          </w:p>
        </w:tc>
        <w:tc>
          <w:tcPr>
            <w:tcW w:w="1116" w:type="dxa"/>
            <w:tcBorders>
              <w:top w:val="single" w:color="auto" w:sz="4" w:space="0"/>
              <w:left w:val="single" w:color="auto" w:sz="4" w:space="0"/>
              <w:bottom w:val="single" w:color="auto" w:sz="4" w:space="0"/>
              <w:right w:val="single" w:color="auto" w:sz="4" w:space="0"/>
            </w:tcBorders>
            <w:vAlign w:val="center"/>
          </w:tcPr>
          <w:p w14:paraId="39D3C4E6">
            <w:pPr>
              <w:jc w:val="center"/>
              <w:rPr>
                <w:sz w:val="24"/>
              </w:rPr>
            </w:pPr>
            <w:r>
              <w:rPr>
                <w:rFonts w:hint="eastAsia"/>
                <w:sz w:val="24"/>
              </w:rPr>
              <w:t>数量</w:t>
            </w:r>
          </w:p>
        </w:tc>
        <w:tc>
          <w:tcPr>
            <w:tcW w:w="2771" w:type="dxa"/>
            <w:tcBorders>
              <w:top w:val="single" w:color="auto" w:sz="4" w:space="0"/>
              <w:left w:val="single" w:color="auto" w:sz="4" w:space="0"/>
              <w:bottom w:val="single" w:color="auto" w:sz="4" w:space="0"/>
              <w:right w:val="single" w:color="auto" w:sz="4" w:space="0"/>
            </w:tcBorders>
            <w:vAlign w:val="center"/>
          </w:tcPr>
          <w:p w14:paraId="0C358D44">
            <w:pPr>
              <w:jc w:val="center"/>
              <w:rPr>
                <w:sz w:val="24"/>
              </w:rPr>
            </w:pPr>
            <w:r>
              <w:rPr>
                <w:rFonts w:hint="eastAsia"/>
                <w:sz w:val="24"/>
              </w:rPr>
              <w:t>原产地和制造商名称</w:t>
            </w:r>
          </w:p>
        </w:tc>
        <w:tc>
          <w:tcPr>
            <w:tcW w:w="1725" w:type="dxa"/>
            <w:tcBorders>
              <w:top w:val="single" w:color="auto" w:sz="4" w:space="0"/>
              <w:left w:val="single" w:color="auto" w:sz="4" w:space="0"/>
              <w:bottom w:val="single" w:color="auto" w:sz="4" w:space="0"/>
              <w:right w:val="single" w:color="auto" w:sz="4" w:space="0"/>
            </w:tcBorders>
            <w:vAlign w:val="center"/>
          </w:tcPr>
          <w:p w14:paraId="7D7917C8">
            <w:pPr>
              <w:ind w:left="480" w:hanging="480" w:hangingChars="200"/>
              <w:jc w:val="center"/>
              <w:rPr>
                <w:sz w:val="24"/>
              </w:rPr>
            </w:pPr>
            <w:r>
              <w:rPr>
                <w:rFonts w:hint="eastAsia"/>
                <w:sz w:val="24"/>
              </w:rPr>
              <w:t>单价（元）</w:t>
            </w:r>
          </w:p>
        </w:tc>
        <w:tc>
          <w:tcPr>
            <w:tcW w:w="1539" w:type="dxa"/>
            <w:tcBorders>
              <w:top w:val="single" w:color="auto" w:sz="4" w:space="0"/>
              <w:left w:val="single" w:color="auto" w:sz="4" w:space="0"/>
              <w:bottom w:val="single" w:color="auto" w:sz="4" w:space="0"/>
              <w:right w:val="single" w:color="auto" w:sz="4" w:space="0"/>
            </w:tcBorders>
            <w:vAlign w:val="center"/>
          </w:tcPr>
          <w:p w14:paraId="299248B2">
            <w:pPr>
              <w:ind w:left="480" w:hanging="480" w:hangingChars="200"/>
              <w:jc w:val="center"/>
              <w:rPr>
                <w:sz w:val="24"/>
              </w:rPr>
            </w:pPr>
            <w:r>
              <w:rPr>
                <w:rFonts w:hint="eastAsia"/>
                <w:sz w:val="24"/>
              </w:rPr>
              <w:t>总价（元）</w:t>
            </w:r>
          </w:p>
        </w:tc>
      </w:tr>
      <w:tr w14:paraId="1FC81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72" w:type="dxa"/>
            <w:tcBorders>
              <w:top w:val="single" w:color="auto" w:sz="4" w:space="0"/>
              <w:left w:val="single" w:color="auto" w:sz="4" w:space="0"/>
              <w:bottom w:val="single" w:color="auto" w:sz="4" w:space="0"/>
              <w:right w:val="single" w:color="auto" w:sz="4" w:space="0"/>
            </w:tcBorders>
          </w:tcPr>
          <w:p w14:paraId="2FCFEEA4">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5702E49D">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25094F7A">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713AB922">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74DD47EE">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681D7BF5">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4E2941A4">
            <w:pPr>
              <w:spacing w:line="320" w:lineRule="exact"/>
              <w:rPr>
                <w:sz w:val="28"/>
                <w:szCs w:val="28"/>
              </w:rPr>
            </w:pPr>
          </w:p>
        </w:tc>
      </w:tr>
      <w:tr w14:paraId="6B0DEC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72" w:type="dxa"/>
            <w:tcBorders>
              <w:top w:val="single" w:color="auto" w:sz="4" w:space="0"/>
              <w:left w:val="single" w:color="auto" w:sz="4" w:space="0"/>
              <w:bottom w:val="single" w:color="auto" w:sz="4" w:space="0"/>
              <w:right w:val="single" w:color="auto" w:sz="4" w:space="0"/>
            </w:tcBorders>
          </w:tcPr>
          <w:p w14:paraId="591C12D8">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250BBFB0">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4EC586E6">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0AD4F5BB">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26E3C80C">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0B7E4848">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06A7B66B">
            <w:pPr>
              <w:spacing w:line="320" w:lineRule="exact"/>
              <w:rPr>
                <w:sz w:val="28"/>
                <w:szCs w:val="28"/>
              </w:rPr>
            </w:pPr>
          </w:p>
        </w:tc>
      </w:tr>
      <w:tr w14:paraId="3D300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72" w:type="dxa"/>
            <w:tcBorders>
              <w:top w:val="single" w:color="auto" w:sz="4" w:space="0"/>
              <w:left w:val="single" w:color="auto" w:sz="4" w:space="0"/>
              <w:bottom w:val="single" w:color="auto" w:sz="4" w:space="0"/>
              <w:right w:val="single" w:color="auto" w:sz="4" w:space="0"/>
            </w:tcBorders>
          </w:tcPr>
          <w:p w14:paraId="1038DA95">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70263542">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04D6087C">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221038EB">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636447DD">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1925E7D7">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5E3BF4ED">
            <w:pPr>
              <w:spacing w:line="320" w:lineRule="exact"/>
              <w:rPr>
                <w:sz w:val="28"/>
                <w:szCs w:val="28"/>
              </w:rPr>
            </w:pPr>
          </w:p>
        </w:tc>
      </w:tr>
      <w:tr w14:paraId="17A72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jc w:val="center"/>
        </w:trPr>
        <w:tc>
          <w:tcPr>
            <w:tcW w:w="672" w:type="dxa"/>
            <w:tcBorders>
              <w:top w:val="single" w:color="auto" w:sz="4" w:space="0"/>
              <w:left w:val="single" w:color="auto" w:sz="4" w:space="0"/>
              <w:bottom w:val="single" w:color="auto" w:sz="4" w:space="0"/>
              <w:right w:val="single" w:color="auto" w:sz="4" w:space="0"/>
            </w:tcBorders>
          </w:tcPr>
          <w:p w14:paraId="77CC8E94">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7D86B6A1">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341929DD">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4467C200">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5B8A551D">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64F00E94">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686C23D2">
            <w:pPr>
              <w:spacing w:line="320" w:lineRule="exact"/>
              <w:rPr>
                <w:sz w:val="28"/>
                <w:szCs w:val="28"/>
              </w:rPr>
            </w:pPr>
          </w:p>
        </w:tc>
      </w:tr>
      <w:tr w14:paraId="6C8B63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72" w:type="dxa"/>
            <w:tcBorders>
              <w:top w:val="single" w:color="auto" w:sz="4" w:space="0"/>
              <w:left w:val="single" w:color="auto" w:sz="4" w:space="0"/>
              <w:bottom w:val="single" w:color="auto" w:sz="4" w:space="0"/>
              <w:right w:val="single" w:color="auto" w:sz="4" w:space="0"/>
            </w:tcBorders>
          </w:tcPr>
          <w:p w14:paraId="030C8F81">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13E9E876">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0F87AAE0">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62B2F9BD">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0723A181">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7CF77D2B">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3D89DA60">
            <w:pPr>
              <w:spacing w:line="320" w:lineRule="exact"/>
              <w:rPr>
                <w:sz w:val="28"/>
                <w:szCs w:val="28"/>
              </w:rPr>
            </w:pPr>
          </w:p>
        </w:tc>
      </w:tr>
      <w:tr w14:paraId="55E29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672" w:type="dxa"/>
            <w:tcBorders>
              <w:top w:val="single" w:color="auto" w:sz="4" w:space="0"/>
              <w:left w:val="single" w:color="auto" w:sz="4" w:space="0"/>
              <w:bottom w:val="single" w:color="auto" w:sz="4" w:space="0"/>
              <w:right w:val="single" w:color="auto" w:sz="4" w:space="0"/>
            </w:tcBorders>
          </w:tcPr>
          <w:p w14:paraId="3A688812">
            <w:pPr>
              <w:spacing w:line="320" w:lineRule="exact"/>
              <w:rPr>
                <w:sz w:val="28"/>
                <w:szCs w:val="28"/>
              </w:rPr>
            </w:pPr>
          </w:p>
        </w:tc>
        <w:tc>
          <w:tcPr>
            <w:tcW w:w="2092" w:type="dxa"/>
            <w:tcBorders>
              <w:top w:val="single" w:color="auto" w:sz="4" w:space="0"/>
              <w:left w:val="single" w:color="auto" w:sz="4" w:space="0"/>
              <w:bottom w:val="single" w:color="auto" w:sz="4" w:space="0"/>
              <w:right w:val="single" w:color="auto" w:sz="4" w:space="0"/>
            </w:tcBorders>
          </w:tcPr>
          <w:p w14:paraId="5738E265">
            <w:pPr>
              <w:spacing w:line="320" w:lineRule="exact"/>
              <w:rPr>
                <w:sz w:val="28"/>
                <w:szCs w:val="28"/>
              </w:rPr>
            </w:pPr>
          </w:p>
        </w:tc>
        <w:tc>
          <w:tcPr>
            <w:tcW w:w="3741" w:type="dxa"/>
            <w:tcBorders>
              <w:top w:val="single" w:color="auto" w:sz="4" w:space="0"/>
              <w:left w:val="single" w:color="auto" w:sz="4" w:space="0"/>
              <w:bottom w:val="single" w:color="auto" w:sz="4" w:space="0"/>
              <w:right w:val="single" w:color="auto" w:sz="4" w:space="0"/>
            </w:tcBorders>
          </w:tcPr>
          <w:p w14:paraId="3C521DF3">
            <w:pPr>
              <w:spacing w:line="320" w:lineRule="exact"/>
              <w:rPr>
                <w:sz w:val="28"/>
                <w:szCs w:val="28"/>
              </w:rPr>
            </w:pPr>
          </w:p>
        </w:tc>
        <w:tc>
          <w:tcPr>
            <w:tcW w:w="1116" w:type="dxa"/>
            <w:tcBorders>
              <w:top w:val="single" w:color="auto" w:sz="4" w:space="0"/>
              <w:left w:val="single" w:color="auto" w:sz="4" w:space="0"/>
              <w:bottom w:val="single" w:color="auto" w:sz="4" w:space="0"/>
              <w:right w:val="single" w:color="auto" w:sz="4" w:space="0"/>
            </w:tcBorders>
          </w:tcPr>
          <w:p w14:paraId="3553C447">
            <w:pPr>
              <w:spacing w:line="320" w:lineRule="exact"/>
              <w:rPr>
                <w:sz w:val="28"/>
                <w:szCs w:val="28"/>
              </w:rPr>
            </w:pPr>
          </w:p>
        </w:tc>
        <w:tc>
          <w:tcPr>
            <w:tcW w:w="2771" w:type="dxa"/>
            <w:tcBorders>
              <w:top w:val="single" w:color="auto" w:sz="4" w:space="0"/>
              <w:left w:val="single" w:color="auto" w:sz="4" w:space="0"/>
              <w:bottom w:val="single" w:color="auto" w:sz="4" w:space="0"/>
              <w:right w:val="single" w:color="auto" w:sz="4" w:space="0"/>
            </w:tcBorders>
          </w:tcPr>
          <w:p w14:paraId="699D98D4">
            <w:pPr>
              <w:spacing w:line="320" w:lineRule="exact"/>
              <w:rPr>
                <w:sz w:val="28"/>
                <w:szCs w:val="28"/>
              </w:rPr>
            </w:pPr>
          </w:p>
        </w:tc>
        <w:tc>
          <w:tcPr>
            <w:tcW w:w="1725" w:type="dxa"/>
            <w:tcBorders>
              <w:top w:val="single" w:color="auto" w:sz="4" w:space="0"/>
              <w:left w:val="single" w:color="auto" w:sz="4" w:space="0"/>
              <w:bottom w:val="single" w:color="auto" w:sz="4" w:space="0"/>
              <w:right w:val="single" w:color="auto" w:sz="4" w:space="0"/>
            </w:tcBorders>
          </w:tcPr>
          <w:p w14:paraId="5DFCF054">
            <w:pPr>
              <w:spacing w:line="320" w:lineRule="exact"/>
              <w:rPr>
                <w:sz w:val="28"/>
                <w:szCs w:val="28"/>
              </w:rPr>
            </w:pPr>
          </w:p>
        </w:tc>
        <w:tc>
          <w:tcPr>
            <w:tcW w:w="1539" w:type="dxa"/>
            <w:tcBorders>
              <w:top w:val="single" w:color="auto" w:sz="4" w:space="0"/>
              <w:left w:val="single" w:color="auto" w:sz="4" w:space="0"/>
              <w:bottom w:val="single" w:color="auto" w:sz="4" w:space="0"/>
              <w:right w:val="single" w:color="auto" w:sz="4" w:space="0"/>
            </w:tcBorders>
          </w:tcPr>
          <w:p w14:paraId="4B9CB542">
            <w:pPr>
              <w:spacing w:line="320" w:lineRule="exact"/>
              <w:rPr>
                <w:sz w:val="28"/>
                <w:szCs w:val="28"/>
              </w:rPr>
            </w:pPr>
          </w:p>
        </w:tc>
      </w:tr>
      <w:tr w14:paraId="59E28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117" w:type="dxa"/>
            <w:gridSpan w:val="6"/>
            <w:tcBorders>
              <w:top w:val="single" w:color="auto" w:sz="4" w:space="0"/>
              <w:left w:val="single" w:color="auto" w:sz="4" w:space="0"/>
              <w:bottom w:val="single" w:color="auto" w:sz="4" w:space="0"/>
              <w:right w:val="single" w:color="auto" w:sz="4" w:space="0"/>
            </w:tcBorders>
            <w:vAlign w:val="center"/>
          </w:tcPr>
          <w:p w14:paraId="6FD40AD1">
            <w:pPr>
              <w:spacing w:line="320" w:lineRule="exact"/>
              <w:jc w:val="right"/>
              <w:rPr>
                <w:sz w:val="28"/>
                <w:szCs w:val="28"/>
              </w:rPr>
            </w:pPr>
            <w:r>
              <w:rPr>
                <w:rFonts w:hint="eastAsia"/>
                <w:sz w:val="24"/>
              </w:rPr>
              <w:t>总价（元）</w:t>
            </w:r>
          </w:p>
        </w:tc>
        <w:tc>
          <w:tcPr>
            <w:tcW w:w="1539" w:type="dxa"/>
            <w:tcBorders>
              <w:top w:val="single" w:color="auto" w:sz="4" w:space="0"/>
              <w:left w:val="single" w:color="auto" w:sz="4" w:space="0"/>
              <w:bottom w:val="single" w:color="auto" w:sz="4" w:space="0"/>
              <w:right w:val="single" w:color="auto" w:sz="4" w:space="0"/>
            </w:tcBorders>
          </w:tcPr>
          <w:p w14:paraId="34AFDDF3">
            <w:pPr>
              <w:spacing w:line="320" w:lineRule="exact"/>
              <w:rPr>
                <w:sz w:val="28"/>
                <w:szCs w:val="28"/>
              </w:rPr>
            </w:pPr>
          </w:p>
        </w:tc>
      </w:tr>
    </w:tbl>
    <w:p w14:paraId="636F0804">
      <w:pPr>
        <w:spacing w:line="360" w:lineRule="auto"/>
        <w:rPr>
          <w:rFonts w:hint="eastAsia" w:asciiTheme="minorEastAsia" w:hAnsiTheme="minorEastAsia"/>
          <w:sz w:val="24"/>
          <w:szCs w:val="24"/>
        </w:rPr>
      </w:pPr>
    </w:p>
    <w:p w14:paraId="3593761E">
      <w:pPr>
        <w:tabs>
          <w:tab w:val="left" w:pos="5828"/>
        </w:tabs>
        <w:spacing w:line="360" w:lineRule="auto"/>
        <w:rPr>
          <w:rFonts w:hint="eastAsia" w:asciiTheme="minorEastAsia" w:hAnsiTheme="minorEastAsia"/>
          <w:sz w:val="24"/>
          <w:szCs w:val="24"/>
        </w:rPr>
      </w:pPr>
      <w:r>
        <w:rPr>
          <w:rFonts w:asciiTheme="minorEastAsia" w:hAnsiTheme="minorEastAsia"/>
          <w:sz w:val="24"/>
          <w:szCs w:val="24"/>
        </w:rPr>
        <w:tab/>
      </w:r>
    </w:p>
    <w:p w14:paraId="75272F9E">
      <w:pPr>
        <w:spacing w:line="360" w:lineRule="auto"/>
        <w:ind w:firstLine="480"/>
        <w:rPr>
          <w:rFonts w:hint="eastAsia" w:asciiTheme="minorEastAsia" w:hAnsiTheme="minorEastAsia"/>
          <w:sz w:val="24"/>
          <w:szCs w:val="24"/>
        </w:rPr>
      </w:pPr>
      <w:r>
        <w:rPr>
          <w:rFonts w:hint="eastAsia" w:asciiTheme="minorEastAsia" w:hAnsiTheme="minorEastAsia"/>
          <w:sz w:val="24"/>
          <w:szCs w:val="24"/>
        </w:rPr>
        <w:t>注：</w:t>
      </w:r>
    </w:p>
    <w:p w14:paraId="7B5AAE9D">
      <w:pPr>
        <w:spacing w:line="360" w:lineRule="auto"/>
        <w:ind w:firstLine="480"/>
        <w:rPr>
          <w:rFonts w:hint="eastAsia" w:asciiTheme="minorEastAsia" w:hAnsiTheme="minorEastAsia"/>
          <w:sz w:val="24"/>
          <w:szCs w:val="24"/>
        </w:rPr>
      </w:pPr>
      <w:r>
        <w:rPr>
          <w:rFonts w:asciiTheme="minorEastAsia" w:hAnsiTheme="minorEastAsia"/>
          <w:sz w:val="24"/>
          <w:szCs w:val="24"/>
        </w:rPr>
        <w:t>1、按单价计算的结果与总价不一致，以</w:t>
      </w:r>
      <w:r>
        <w:rPr>
          <w:rFonts w:hint="eastAsia" w:asciiTheme="minorEastAsia" w:hAnsiTheme="minorEastAsia"/>
          <w:sz w:val="24"/>
          <w:szCs w:val="24"/>
        </w:rPr>
        <w:t>单</w:t>
      </w:r>
      <w:r>
        <w:rPr>
          <w:rFonts w:asciiTheme="minorEastAsia" w:hAnsiTheme="minorEastAsia"/>
          <w:sz w:val="24"/>
          <w:szCs w:val="24"/>
        </w:rPr>
        <w:t>价为准修正</w:t>
      </w:r>
      <w:r>
        <w:rPr>
          <w:rFonts w:hint="eastAsia" w:asciiTheme="minorEastAsia" w:hAnsiTheme="minorEastAsia"/>
          <w:sz w:val="24"/>
          <w:szCs w:val="24"/>
        </w:rPr>
        <w:t>总</w:t>
      </w:r>
      <w:r>
        <w:rPr>
          <w:rFonts w:asciiTheme="minorEastAsia" w:hAnsiTheme="minorEastAsia"/>
          <w:sz w:val="24"/>
          <w:szCs w:val="24"/>
        </w:rPr>
        <w:t>价；</w:t>
      </w:r>
    </w:p>
    <w:p w14:paraId="60E9C4BB">
      <w:pPr>
        <w:spacing w:line="360" w:lineRule="auto"/>
        <w:ind w:firstLine="480"/>
        <w:rPr>
          <w:rFonts w:hint="eastAsia" w:asciiTheme="minorEastAsia" w:hAnsiTheme="minorEastAsia"/>
          <w:sz w:val="24"/>
          <w:szCs w:val="24"/>
        </w:rPr>
      </w:pPr>
      <w:r>
        <w:rPr>
          <w:rFonts w:asciiTheme="minorEastAsia" w:hAnsiTheme="minorEastAsia"/>
          <w:sz w:val="24"/>
          <w:szCs w:val="24"/>
        </w:rPr>
        <w:t>2、如果不提供详细分项报价将视为没有实质性响应</w:t>
      </w:r>
      <w:r>
        <w:rPr>
          <w:rFonts w:hint="eastAsia" w:asciiTheme="minorEastAsia" w:hAnsiTheme="minorEastAsia"/>
          <w:sz w:val="24"/>
          <w:szCs w:val="24"/>
        </w:rPr>
        <w:t>议标</w:t>
      </w:r>
      <w:r>
        <w:rPr>
          <w:rFonts w:asciiTheme="minorEastAsia" w:hAnsiTheme="minorEastAsia"/>
          <w:sz w:val="24"/>
          <w:szCs w:val="24"/>
        </w:rPr>
        <w:t>文件；</w:t>
      </w:r>
    </w:p>
    <w:p w14:paraId="032D11FA">
      <w:pPr>
        <w:spacing w:line="360" w:lineRule="auto"/>
        <w:ind w:firstLine="480"/>
        <w:rPr>
          <w:rFonts w:hint="eastAsia"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上述报价包括完成本项目所需的全部费用。</w:t>
      </w:r>
    </w:p>
    <w:p w14:paraId="731767B4">
      <w:pPr>
        <w:spacing w:line="360" w:lineRule="auto"/>
        <w:ind w:firstLine="480"/>
        <w:rPr>
          <w:rFonts w:hint="eastAsia" w:asciiTheme="minorEastAsia" w:hAnsiTheme="minorEastAsia"/>
          <w:sz w:val="24"/>
          <w:szCs w:val="24"/>
        </w:rPr>
      </w:pPr>
    </w:p>
    <w:p w14:paraId="63F253F6">
      <w:pPr>
        <w:spacing w:line="360" w:lineRule="auto"/>
        <w:ind w:firstLine="480"/>
        <w:rPr>
          <w:rFonts w:hint="eastAsia" w:asciiTheme="minorEastAsia" w:hAnsiTheme="minorEastAsia"/>
          <w:sz w:val="24"/>
          <w:szCs w:val="24"/>
        </w:rPr>
      </w:pPr>
    </w:p>
    <w:p w14:paraId="628BE09A">
      <w:pPr>
        <w:spacing w:line="360" w:lineRule="auto"/>
        <w:ind w:firstLine="480"/>
        <w:rPr>
          <w:rFonts w:hint="eastAsia" w:asciiTheme="minorEastAsia" w:hAnsiTheme="minorEastAsia"/>
          <w:sz w:val="24"/>
          <w:szCs w:val="24"/>
        </w:rPr>
      </w:pPr>
    </w:p>
    <w:p w14:paraId="2B3464CA">
      <w:pPr>
        <w:autoSpaceDE w:val="0"/>
        <w:autoSpaceDN w:val="0"/>
        <w:adjustRightInd w:val="0"/>
        <w:spacing w:line="360" w:lineRule="auto"/>
        <w:ind w:right="240" w:firstLine="3360" w:firstLineChars="1400"/>
        <w:jc w:val="center"/>
        <w:rPr>
          <w:rFonts w:hint="eastAsia" w:asciiTheme="minorEastAsia" w:hAnsiTheme="minorEastAsia"/>
          <w:sz w:val="24"/>
          <w:szCs w:val="24"/>
        </w:rPr>
      </w:pPr>
      <w:r>
        <w:rPr>
          <w:rFonts w:hint="eastAsia" w:asciiTheme="minorEastAsia" w:hAnsiTheme="minorEastAsia"/>
          <w:bCs/>
          <w:sz w:val="24"/>
          <w:szCs w:val="24"/>
        </w:rPr>
        <w:t>投标人名称</w:t>
      </w:r>
      <w:r>
        <w:rPr>
          <w:rFonts w:hint="eastAsia" w:asciiTheme="minorEastAsia" w:hAnsiTheme="minorEastAsia"/>
          <w:sz w:val="24"/>
          <w:szCs w:val="24"/>
        </w:rPr>
        <w:t>（加盖公章）</w:t>
      </w:r>
      <w:r>
        <w:rPr>
          <w:rFonts w:hint="eastAsia" w:asciiTheme="minorEastAsia" w:hAnsiTheme="minorEastAsia"/>
          <w:bCs/>
          <w:sz w:val="24"/>
          <w:szCs w:val="24"/>
        </w:rPr>
        <w:t>：</w:t>
      </w:r>
    </w:p>
    <w:p w14:paraId="140B61FE">
      <w:pPr>
        <w:autoSpaceDE w:val="0"/>
        <w:autoSpaceDN w:val="0"/>
        <w:adjustRightInd w:val="0"/>
        <w:spacing w:line="360" w:lineRule="auto"/>
        <w:ind w:right="150" w:firstLine="3360" w:firstLineChars="1400"/>
        <w:jc w:val="center"/>
        <w:rPr>
          <w:rFonts w:hint="eastAsia" w:asciiTheme="minorEastAsia" w:hAnsiTheme="minorEastAsia"/>
          <w:sz w:val="24"/>
          <w:szCs w:val="24"/>
        </w:rPr>
      </w:pPr>
      <w:r>
        <w:rPr>
          <w:rFonts w:hint="eastAsia" w:asciiTheme="minorEastAsia" w:hAnsiTheme="minorEastAsia"/>
          <w:sz w:val="24"/>
          <w:szCs w:val="24"/>
        </w:rPr>
        <w:t>法定代表人或授权代表（签字）：</w:t>
      </w:r>
    </w:p>
    <w:p w14:paraId="13BB0120">
      <w:pPr>
        <w:autoSpaceDE w:val="0"/>
        <w:autoSpaceDN w:val="0"/>
        <w:adjustRightInd w:val="0"/>
        <w:spacing w:line="360" w:lineRule="auto"/>
        <w:ind w:right="150" w:firstLine="7200" w:firstLineChars="3000"/>
        <w:rPr>
          <w:rFonts w:hint="eastAsia" w:asciiTheme="minorEastAsia" w:hAnsiTheme="minorEastAsia"/>
          <w:sz w:val="24"/>
          <w:szCs w:val="24"/>
        </w:rPr>
      </w:pPr>
      <w:r>
        <w:rPr>
          <w:rFonts w:hint="eastAsia" w:asciiTheme="minorEastAsia" w:hAnsiTheme="minorEastAsia"/>
          <w:sz w:val="24"/>
          <w:szCs w:val="24"/>
        </w:rPr>
        <w:t>日期：年月日</w:t>
      </w:r>
    </w:p>
    <w:p w14:paraId="0826F6C7">
      <w:pPr>
        <w:spacing w:line="360" w:lineRule="auto"/>
        <w:rPr>
          <w:rFonts w:hint="eastAsia" w:asciiTheme="minorEastAsia" w:hAnsiTheme="minorEastAsia"/>
          <w:sz w:val="24"/>
          <w:szCs w:val="24"/>
        </w:rPr>
      </w:pPr>
      <w:bookmarkStart w:id="105" w:name="_Toc389642127"/>
    </w:p>
    <w:p w14:paraId="59D5F513">
      <w:pPr>
        <w:spacing w:line="360" w:lineRule="auto"/>
        <w:rPr>
          <w:rFonts w:hint="eastAsia" w:asciiTheme="minorEastAsia" w:hAnsiTheme="minorEastAsia"/>
          <w:sz w:val="24"/>
          <w:szCs w:val="24"/>
        </w:rPr>
      </w:pPr>
    </w:p>
    <w:p w14:paraId="0027D05E">
      <w:pPr>
        <w:spacing w:line="360" w:lineRule="auto"/>
        <w:rPr>
          <w:rFonts w:hint="eastAsia" w:asciiTheme="minorEastAsia" w:hAnsiTheme="minorEastAsia"/>
          <w:sz w:val="24"/>
          <w:szCs w:val="24"/>
        </w:rPr>
      </w:pPr>
    </w:p>
    <w:p w14:paraId="1271604C">
      <w:pPr>
        <w:spacing w:line="360" w:lineRule="auto"/>
        <w:jc w:val="left"/>
        <w:rPr>
          <w:rFonts w:hint="eastAsia" w:asciiTheme="minorEastAsia" w:hAnsiTheme="minorEastAsia"/>
          <w:b/>
          <w:sz w:val="28"/>
          <w:szCs w:val="28"/>
        </w:rPr>
        <w:sectPr>
          <w:pgSz w:w="16838" w:h="11906" w:orient="landscape"/>
          <w:pgMar w:top="1418" w:right="1440" w:bottom="1418" w:left="1440" w:header="851" w:footer="992" w:gutter="0"/>
          <w:cols w:space="425" w:num="1"/>
          <w:docGrid w:type="lines" w:linePitch="312" w:charSpace="0"/>
        </w:sectPr>
      </w:pPr>
    </w:p>
    <w:p w14:paraId="2287F54A">
      <w:pPr>
        <w:spacing w:line="360" w:lineRule="auto"/>
        <w:jc w:val="left"/>
        <w:rPr>
          <w:rFonts w:hint="eastAsia" w:asciiTheme="minorEastAsia" w:hAnsiTheme="minorEastAsia"/>
          <w:b/>
          <w:sz w:val="28"/>
          <w:szCs w:val="28"/>
        </w:rPr>
      </w:pPr>
      <w:r>
        <w:rPr>
          <w:rFonts w:hint="eastAsia" w:asciiTheme="minorEastAsia" w:hAnsiTheme="minorEastAsia"/>
          <w:b/>
          <w:sz w:val="28"/>
          <w:szCs w:val="28"/>
        </w:rPr>
        <w:t>4</w:t>
      </w:r>
      <w:r>
        <w:rPr>
          <w:rFonts w:asciiTheme="minorEastAsia" w:hAnsiTheme="minorEastAsia"/>
          <w:b/>
          <w:sz w:val="28"/>
          <w:szCs w:val="28"/>
        </w:rPr>
        <w:t>.</w:t>
      </w:r>
      <w:r>
        <w:rPr>
          <w:rFonts w:hint="eastAsia" w:asciiTheme="minorEastAsia" w:hAnsiTheme="minorEastAsia"/>
          <w:b/>
          <w:sz w:val="28"/>
          <w:szCs w:val="28"/>
        </w:rPr>
        <w:t>5</w:t>
      </w:r>
      <w:r>
        <w:rPr>
          <w:rFonts w:asciiTheme="minorEastAsia" w:hAnsiTheme="minorEastAsia"/>
          <w:b/>
          <w:sz w:val="28"/>
          <w:szCs w:val="28"/>
        </w:rPr>
        <w:t>法定代表人授权书</w:t>
      </w:r>
      <w:bookmarkEnd w:id="105"/>
      <w:r>
        <w:rPr>
          <w:rFonts w:hint="eastAsia" w:asciiTheme="minorEastAsia" w:hAnsiTheme="minorEastAsia"/>
          <w:b/>
          <w:sz w:val="28"/>
          <w:szCs w:val="28"/>
        </w:rPr>
        <w:t>（</w:t>
      </w:r>
      <w:r>
        <w:rPr>
          <w:rFonts w:asciiTheme="minorEastAsia" w:hAnsiTheme="minorEastAsia"/>
          <w:b/>
          <w:sz w:val="28"/>
          <w:szCs w:val="28"/>
        </w:rPr>
        <w:t>如</w:t>
      </w:r>
      <w:r>
        <w:rPr>
          <w:rFonts w:hint="eastAsia" w:asciiTheme="minorEastAsia" w:hAnsiTheme="minorEastAsia"/>
          <w:b/>
          <w:sz w:val="28"/>
          <w:szCs w:val="28"/>
        </w:rPr>
        <w:t>法定代表人直接签署投标文件则无需提供）</w:t>
      </w:r>
    </w:p>
    <w:p w14:paraId="54D9EA22">
      <w:pPr>
        <w:autoSpaceDE w:val="0"/>
        <w:autoSpaceDN w:val="0"/>
        <w:adjustRightInd w:val="0"/>
        <w:spacing w:line="360" w:lineRule="auto"/>
        <w:ind w:firstLine="482"/>
        <w:rPr>
          <w:rFonts w:hint="eastAsia" w:asciiTheme="minorEastAsia" w:hAnsiTheme="minorEastAsia"/>
          <w:b/>
          <w:bCs/>
          <w:sz w:val="24"/>
          <w:szCs w:val="24"/>
        </w:rPr>
      </w:pPr>
      <w:r>
        <w:rPr>
          <w:rFonts w:hint="eastAsia" w:asciiTheme="minorEastAsia" w:hAnsiTheme="minorEastAsia"/>
          <w:b/>
          <w:bCs/>
          <w:sz w:val="24"/>
          <w:szCs w:val="24"/>
        </w:rPr>
        <w:t>致：国联汽车动力电池研究院有限责任公司</w:t>
      </w:r>
    </w:p>
    <w:p w14:paraId="46F80CFE">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本人</w:t>
      </w:r>
      <w:r>
        <w:rPr>
          <w:rFonts w:hint="eastAsia" w:asciiTheme="minorEastAsia" w:hAnsiTheme="minorEastAsia"/>
          <w:b/>
          <w:sz w:val="24"/>
          <w:szCs w:val="24"/>
        </w:rPr>
        <w:t>【</w:t>
      </w:r>
      <w:r>
        <w:rPr>
          <w:rFonts w:hint="eastAsia" w:asciiTheme="minorEastAsia" w:hAnsiTheme="minorEastAsia"/>
          <w:bCs/>
          <w:i/>
          <w:iCs/>
          <w:sz w:val="24"/>
          <w:szCs w:val="24"/>
        </w:rPr>
        <w:t>姓名</w:t>
      </w:r>
      <w:r>
        <w:rPr>
          <w:rFonts w:hint="eastAsia" w:asciiTheme="minorEastAsia" w:hAnsiTheme="minorEastAsia"/>
          <w:bCs/>
          <w:sz w:val="24"/>
          <w:szCs w:val="24"/>
        </w:rPr>
        <w:t>】系</w:t>
      </w:r>
      <w:r>
        <w:rPr>
          <w:rFonts w:hint="eastAsia" w:asciiTheme="minorEastAsia" w:hAnsiTheme="minorEastAsia"/>
          <w:b/>
          <w:sz w:val="24"/>
          <w:szCs w:val="24"/>
        </w:rPr>
        <w:t>【</w:t>
      </w:r>
      <w:r>
        <w:rPr>
          <w:rFonts w:hint="eastAsia" w:asciiTheme="minorEastAsia" w:hAnsiTheme="minorEastAsia"/>
          <w:bCs/>
          <w:i/>
          <w:iCs/>
          <w:sz w:val="24"/>
          <w:szCs w:val="24"/>
        </w:rPr>
        <w:t>投标人</w:t>
      </w:r>
      <w:r>
        <w:rPr>
          <w:rFonts w:hint="eastAsia" w:asciiTheme="minorEastAsia" w:hAnsiTheme="minorEastAsia"/>
          <w:bCs/>
          <w:sz w:val="24"/>
          <w:szCs w:val="24"/>
        </w:rPr>
        <w:t>】的法定代表人，现授权委托我公司【</w:t>
      </w:r>
      <w:r>
        <w:rPr>
          <w:rFonts w:hint="eastAsia" w:asciiTheme="minorEastAsia" w:hAnsiTheme="minorEastAsia"/>
          <w:bCs/>
          <w:i/>
          <w:iCs/>
          <w:sz w:val="24"/>
          <w:szCs w:val="24"/>
        </w:rPr>
        <w:t>部门名称</w:t>
      </w:r>
      <w:r>
        <w:rPr>
          <w:rFonts w:hint="eastAsia" w:asciiTheme="minorEastAsia" w:hAnsiTheme="minorEastAsia"/>
          <w:bCs/>
          <w:sz w:val="24"/>
          <w:szCs w:val="24"/>
        </w:rPr>
        <w:t>】的【姓名和职务】为合法授权代表，以本公司的名义参加国联汽车动力电池研究院有限责任公司【</w:t>
      </w:r>
      <w:r>
        <w:rPr>
          <w:rFonts w:hint="eastAsia" w:cs="宋体" w:asciiTheme="minorEastAsia" w:hAnsiTheme="minorEastAsia"/>
          <w:kern w:val="0"/>
          <w:sz w:val="24"/>
          <w:szCs w:val="24"/>
        </w:rPr>
        <w:t>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宋体" w:asciiTheme="minorEastAsia" w:hAnsiTheme="minorEastAsia"/>
          <w:kern w:val="0"/>
          <w:sz w:val="24"/>
          <w:szCs w:val="24"/>
        </w:rPr>
        <w:t>】项目</w:t>
      </w:r>
      <w:r>
        <w:rPr>
          <w:rFonts w:hint="eastAsia" w:asciiTheme="minorEastAsia" w:hAnsiTheme="minorEastAsia"/>
          <w:bCs/>
          <w:sz w:val="24"/>
          <w:szCs w:val="24"/>
        </w:rPr>
        <w:t>内部议标活动。该授权代表在本次内部议标活动过程中所签署的一切文件和处理与之有关的一切事务，均代表本公司的行为，与本人的行为具有同等的法律效力。本公司将承担授权代表行为的一切法律责任和后果。</w:t>
      </w:r>
    </w:p>
    <w:p w14:paraId="351742AB">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本授权书有效期同投标文件有效期，授权代表无转委托权。</w:t>
      </w:r>
    </w:p>
    <w:p w14:paraId="58655E28">
      <w:pPr>
        <w:autoSpaceDE w:val="0"/>
        <w:autoSpaceDN w:val="0"/>
        <w:adjustRightInd w:val="0"/>
        <w:spacing w:line="360" w:lineRule="auto"/>
        <w:rPr>
          <w:rFonts w:hint="eastAsia" w:asciiTheme="minorEastAsia" w:hAnsiTheme="minorEastAsia"/>
          <w:bCs/>
          <w:sz w:val="24"/>
          <w:szCs w:val="24"/>
        </w:rPr>
      </w:pPr>
    </w:p>
    <w:p w14:paraId="43D9FBAC">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授权代表姓名：</w:t>
      </w:r>
    </w:p>
    <w:p w14:paraId="1C98D8D7">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授权代表职务：</w:t>
      </w:r>
    </w:p>
    <w:p w14:paraId="2EC38467">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授权代表身份证号码：</w:t>
      </w:r>
    </w:p>
    <w:p w14:paraId="1DBB2429">
      <w:pPr>
        <w:autoSpaceDE w:val="0"/>
        <w:autoSpaceDN w:val="0"/>
        <w:adjustRightInd w:val="0"/>
        <w:spacing w:line="360" w:lineRule="auto"/>
        <w:ind w:firstLine="480"/>
        <w:rPr>
          <w:rFonts w:hint="eastAsia" w:asciiTheme="minorEastAsia" w:hAnsiTheme="minorEastAsia"/>
          <w:bCs/>
          <w:sz w:val="24"/>
          <w:szCs w:val="24"/>
        </w:rPr>
      </w:pPr>
    </w:p>
    <w:p w14:paraId="2F66E9F9">
      <w:pPr>
        <w:autoSpaceDE w:val="0"/>
        <w:autoSpaceDN w:val="0"/>
        <w:adjustRightInd w:val="0"/>
        <w:spacing w:line="360" w:lineRule="auto"/>
        <w:ind w:right="240" w:firstLine="5160" w:firstLineChars="2150"/>
        <w:jc w:val="left"/>
        <w:rPr>
          <w:rFonts w:hint="eastAsia" w:asciiTheme="minorEastAsia" w:hAnsiTheme="minorEastAsia"/>
          <w:sz w:val="24"/>
          <w:szCs w:val="24"/>
        </w:rPr>
      </w:pPr>
      <w:r>
        <w:rPr>
          <w:rFonts w:hint="eastAsia" w:asciiTheme="minorEastAsia" w:hAnsiTheme="minorEastAsia"/>
          <w:bCs/>
          <w:sz w:val="24"/>
          <w:szCs w:val="24"/>
        </w:rPr>
        <w:t>投标人名称</w:t>
      </w:r>
      <w:r>
        <w:rPr>
          <w:rFonts w:hint="eastAsia" w:asciiTheme="minorEastAsia" w:hAnsiTheme="minorEastAsia"/>
          <w:sz w:val="24"/>
          <w:szCs w:val="24"/>
        </w:rPr>
        <w:t>（加盖公章）</w:t>
      </w:r>
      <w:r>
        <w:rPr>
          <w:rFonts w:hint="eastAsia" w:asciiTheme="minorEastAsia" w:hAnsiTheme="minorEastAsia"/>
          <w:bCs/>
          <w:sz w:val="24"/>
          <w:szCs w:val="24"/>
        </w:rPr>
        <w:t>：</w:t>
      </w:r>
    </w:p>
    <w:p w14:paraId="1A2ACE53">
      <w:pPr>
        <w:autoSpaceDE w:val="0"/>
        <w:autoSpaceDN w:val="0"/>
        <w:adjustRightInd w:val="0"/>
        <w:spacing w:line="360" w:lineRule="auto"/>
        <w:ind w:right="150" w:firstLine="5160" w:firstLineChars="2150"/>
        <w:jc w:val="left"/>
        <w:rPr>
          <w:rFonts w:hint="eastAsia" w:asciiTheme="minorEastAsia" w:hAnsiTheme="minorEastAsia"/>
          <w:sz w:val="24"/>
          <w:szCs w:val="24"/>
        </w:rPr>
      </w:pPr>
      <w:r>
        <w:rPr>
          <w:rFonts w:hint="eastAsia" w:asciiTheme="minorEastAsia" w:hAnsiTheme="minorEastAsia"/>
          <w:sz w:val="24"/>
          <w:szCs w:val="24"/>
        </w:rPr>
        <w:t>法定代表人（签字）：</w:t>
      </w:r>
    </w:p>
    <w:p w14:paraId="773A09F6">
      <w:pPr>
        <w:autoSpaceDE w:val="0"/>
        <w:autoSpaceDN w:val="0"/>
        <w:adjustRightInd w:val="0"/>
        <w:spacing w:line="360" w:lineRule="auto"/>
        <w:ind w:right="150" w:firstLine="5160" w:firstLineChars="2150"/>
        <w:jc w:val="left"/>
        <w:rPr>
          <w:rFonts w:hint="eastAsia" w:asciiTheme="minorEastAsia" w:hAnsiTheme="minorEastAsia"/>
          <w:bCs/>
          <w:sz w:val="24"/>
          <w:szCs w:val="24"/>
        </w:rPr>
      </w:pPr>
      <w:r>
        <w:rPr>
          <w:rFonts w:hint="eastAsia" w:asciiTheme="minorEastAsia" w:hAnsiTheme="minorEastAsia"/>
          <w:sz w:val="24"/>
          <w:szCs w:val="24"/>
        </w:rPr>
        <w:t>日期：年月日</w:t>
      </w:r>
      <w:bookmarkStart w:id="106" w:name="_Toc307463408"/>
    </w:p>
    <w:p w14:paraId="089D0AF9">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附：法定代表人身份证复印件（加盖公章）</w:t>
      </w:r>
    </w:p>
    <w:p w14:paraId="0BBA9574">
      <w:pPr>
        <w:autoSpaceDE w:val="0"/>
        <w:autoSpaceDN w:val="0"/>
        <w:adjustRightInd w:val="0"/>
        <w:spacing w:line="360" w:lineRule="auto"/>
        <w:ind w:firstLine="960" w:firstLineChars="400"/>
        <w:rPr>
          <w:rFonts w:hint="eastAsia" w:asciiTheme="minorEastAsia" w:hAnsiTheme="minorEastAsia"/>
          <w:bCs/>
          <w:sz w:val="24"/>
          <w:szCs w:val="24"/>
        </w:rPr>
      </w:pPr>
      <w:r>
        <w:rPr>
          <w:rFonts w:hint="eastAsia" w:asciiTheme="minorEastAsia" w:hAnsiTheme="minorEastAsia"/>
          <w:bCs/>
          <w:sz w:val="24"/>
          <w:szCs w:val="24"/>
        </w:rPr>
        <w:t>授权代表人身份证复印件（加盖公章）</w:t>
      </w:r>
    </w:p>
    <w:p w14:paraId="10042FF3">
      <w:pPr>
        <w:autoSpaceDE w:val="0"/>
        <w:autoSpaceDN w:val="0"/>
        <w:adjustRightInd w:val="0"/>
        <w:spacing w:line="360" w:lineRule="auto"/>
        <w:ind w:firstLine="960" w:firstLineChars="400"/>
        <w:rPr>
          <w:rFonts w:hint="eastAsia" w:asciiTheme="minorEastAsia" w:hAnsiTheme="minorEastAsia"/>
          <w:bCs/>
          <w:sz w:val="24"/>
          <w:szCs w:val="24"/>
        </w:rPr>
      </w:pPr>
    </w:p>
    <w:p w14:paraId="0BB04895">
      <w:pPr>
        <w:autoSpaceDE w:val="0"/>
        <w:autoSpaceDN w:val="0"/>
        <w:adjustRightInd w:val="0"/>
        <w:spacing w:line="360" w:lineRule="auto"/>
        <w:ind w:firstLine="960" w:firstLineChars="400"/>
        <w:rPr>
          <w:rFonts w:hint="eastAsia" w:asciiTheme="minorEastAsia" w:hAnsiTheme="minorEastAsia"/>
          <w:bCs/>
          <w:sz w:val="24"/>
          <w:szCs w:val="24"/>
        </w:rPr>
      </w:pPr>
    </w:p>
    <w:p w14:paraId="04DD44AA">
      <w:pPr>
        <w:autoSpaceDE w:val="0"/>
        <w:autoSpaceDN w:val="0"/>
        <w:adjustRightInd w:val="0"/>
        <w:spacing w:line="360" w:lineRule="auto"/>
        <w:ind w:firstLine="960" w:firstLineChars="400"/>
        <w:rPr>
          <w:rFonts w:hint="eastAsia" w:asciiTheme="minorEastAsia" w:hAnsiTheme="minorEastAsia"/>
          <w:bCs/>
          <w:sz w:val="24"/>
          <w:szCs w:val="24"/>
        </w:rPr>
      </w:pPr>
    </w:p>
    <w:p w14:paraId="379FDAA4">
      <w:pPr>
        <w:autoSpaceDE w:val="0"/>
        <w:autoSpaceDN w:val="0"/>
        <w:adjustRightInd w:val="0"/>
        <w:spacing w:line="360" w:lineRule="auto"/>
        <w:ind w:firstLine="960" w:firstLineChars="400"/>
        <w:rPr>
          <w:rFonts w:hint="eastAsia" w:asciiTheme="minorEastAsia" w:hAnsiTheme="minorEastAsia"/>
          <w:bCs/>
          <w:sz w:val="24"/>
          <w:szCs w:val="24"/>
        </w:rPr>
      </w:pPr>
    </w:p>
    <w:p w14:paraId="0A9397DA">
      <w:pPr>
        <w:autoSpaceDE w:val="0"/>
        <w:autoSpaceDN w:val="0"/>
        <w:adjustRightInd w:val="0"/>
        <w:spacing w:line="360" w:lineRule="auto"/>
        <w:ind w:firstLine="960" w:firstLineChars="400"/>
        <w:rPr>
          <w:rFonts w:hint="eastAsia" w:asciiTheme="minorEastAsia" w:hAnsiTheme="minorEastAsia"/>
          <w:bCs/>
          <w:sz w:val="24"/>
          <w:szCs w:val="24"/>
        </w:rPr>
      </w:pPr>
    </w:p>
    <w:p w14:paraId="5B354A9A">
      <w:pPr>
        <w:autoSpaceDE w:val="0"/>
        <w:autoSpaceDN w:val="0"/>
        <w:adjustRightInd w:val="0"/>
        <w:spacing w:line="360" w:lineRule="auto"/>
        <w:ind w:firstLine="960" w:firstLineChars="400"/>
        <w:rPr>
          <w:rFonts w:hint="eastAsia" w:asciiTheme="minorEastAsia" w:hAnsiTheme="minorEastAsia"/>
          <w:bCs/>
          <w:sz w:val="24"/>
          <w:szCs w:val="24"/>
        </w:rPr>
      </w:pPr>
    </w:p>
    <w:p w14:paraId="267BEFEE">
      <w:pPr>
        <w:autoSpaceDE w:val="0"/>
        <w:autoSpaceDN w:val="0"/>
        <w:adjustRightInd w:val="0"/>
        <w:spacing w:line="360" w:lineRule="auto"/>
        <w:ind w:firstLine="960" w:firstLineChars="400"/>
        <w:rPr>
          <w:rFonts w:hint="eastAsia" w:asciiTheme="minorEastAsia" w:hAnsiTheme="minorEastAsia"/>
          <w:bCs/>
          <w:sz w:val="24"/>
          <w:szCs w:val="24"/>
        </w:rPr>
      </w:pPr>
    </w:p>
    <w:p w14:paraId="7BB04C35">
      <w:pPr>
        <w:autoSpaceDE w:val="0"/>
        <w:autoSpaceDN w:val="0"/>
        <w:adjustRightInd w:val="0"/>
        <w:spacing w:line="360" w:lineRule="auto"/>
        <w:ind w:firstLine="960" w:firstLineChars="400"/>
        <w:rPr>
          <w:rFonts w:hint="eastAsia" w:asciiTheme="minorEastAsia" w:hAnsiTheme="minorEastAsia"/>
          <w:bCs/>
          <w:sz w:val="24"/>
          <w:szCs w:val="24"/>
        </w:rPr>
      </w:pPr>
    </w:p>
    <w:p w14:paraId="356889C9">
      <w:pPr>
        <w:autoSpaceDE w:val="0"/>
        <w:autoSpaceDN w:val="0"/>
        <w:adjustRightInd w:val="0"/>
        <w:spacing w:line="360" w:lineRule="auto"/>
        <w:ind w:firstLine="960" w:firstLineChars="400"/>
        <w:rPr>
          <w:rFonts w:hint="eastAsia" w:asciiTheme="minorEastAsia" w:hAnsiTheme="minorEastAsia"/>
          <w:bCs/>
          <w:sz w:val="24"/>
          <w:szCs w:val="24"/>
        </w:rPr>
      </w:pPr>
    </w:p>
    <w:p w14:paraId="2D3179D6">
      <w:pPr>
        <w:autoSpaceDE w:val="0"/>
        <w:autoSpaceDN w:val="0"/>
        <w:adjustRightInd w:val="0"/>
        <w:spacing w:line="360" w:lineRule="auto"/>
        <w:rPr>
          <w:rFonts w:hint="eastAsia" w:asciiTheme="minorEastAsia" w:hAnsiTheme="minorEastAsia"/>
          <w:bCs/>
          <w:sz w:val="24"/>
          <w:szCs w:val="24"/>
        </w:rPr>
      </w:pPr>
    </w:p>
    <w:bookmarkEnd w:id="106"/>
    <w:p w14:paraId="5E1BE0BB">
      <w:pPr>
        <w:spacing w:line="360" w:lineRule="auto"/>
        <w:jc w:val="left"/>
        <w:rPr>
          <w:rFonts w:hint="eastAsia" w:asciiTheme="minorEastAsia" w:hAnsiTheme="minorEastAsia"/>
          <w:b/>
          <w:sz w:val="28"/>
          <w:szCs w:val="28"/>
        </w:rPr>
      </w:pPr>
      <w:bookmarkStart w:id="107" w:name="_Toc389642129"/>
      <w:bookmarkStart w:id="108" w:name="_Toc182205339"/>
      <w:bookmarkStart w:id="109" w:name="_Toc181504485"/>
      <w:bookmarkStart w:id="110" w:name="_Toc232176293"/>
      <w:bookmarkStart w:id="111" w:name="_Toc150774773"/>
      <w:bookmarkStart w:id="112" w:name="_Toc127151572"/>
      <w:bookmarkStart w:id="113" w:name="_Toc232395233"/>
      <w:bookmarkStart w:id="114" w:name="_Toc230013649"/>
      <w:bookmarkStart w:id="115" w:name="_Toc182205196"/>
      <w:bookmarkStart w:id="116" w:name="_Toc142311072"/>
      <w:bookmarkStart w:id="117" w:name="_Toc230583563"/>
      <w:bookmarkStart w:id="118" w:name="_Toc150480808"/>
      <w:bookmarkStart w:id="119" w:name="_Toc181326029"/>
      <w:bookmarkStart w:id="120" w:name="_Toc307463411"/>
      <w:bookmarkStart w:id="121" w:name="_Toc235518486"/>
      <w:bookmarkStart w:id="122" w:name="_Toc181864909"/>
      <w:bookmarkStart w:id="123" w:name="_Toc181326162"/>
      <w:bookmarkStart w:id="124" w:name="_Toc239740372"/>
      <w:bookmarkStart w:id="125" w:name="_Toc230099814"/>
      <w:r>
        <w:rPr>
          <w:rFonts w:hint="eastAsia" w:asciiTheme="minorEastAsia" w:hAnsiTheme="minorEastAsia"/>
          <w:b/>
          <w:sz w:val="28"/>
          <w:szCs w:val="28"/>
        </w:rPr>
        <w:t>4.6技术方案、项目实施方案及服务承诺</w:t>
      </w:r>
      <w:bookmarkEnd w:id="107"/>
    </w:p>
    <w:p w14:paraId="1AC2B78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【主要包括：项目具体实施方案、项目组成人员安排、工作进度计划、服 </w:t>
      </w:r>
    </w:p>
    <w:p w14:paraId="4E83188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务保证措施及服务承诺】 </w:t>
      </w:r>
    </w:p>
    <w:p w14:paraId="0737B43C">
      <w:pPr>
        <w:keepNext w:val="0"/>
        <w:keepLines w:val="0"/>
        <w:widowControl/>
        <w:suppressLineNumbers w:val="0"/>
        <w:jc w:val="left"/>
      </w:pPr>
      <w:r>
        <w:rPr>
          <w:rFonts w:hint="eastAsia" w:ascii="宋体" w:hAnsi="宋体" w:eastAsia="宋体" w:cs="宋体"/>
          <w:b/>
          <w:bCs/>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 xml:space="preserve">请详细填写实施方案等信息，如没有实质性的实施方案等信息将被作为 </w:t>
      </w:r>
    </w:p>
    <w:p w14:paraId="22B14FB2">
      <w:pPr>
        <w:keepNext w:val="0"/>
        <w:keepLines w:val="0"/>
        <w:widowControl/>
        <w:suppressLineNumbers w:val="0"/>
        <w:jc w:val="left"/>
      </w:pPr>
      <w:r>
        <w:rPr>
          <w:rFonts w:hint="eastAsia" w:ascii="宋体" w:hAnsi="宋体" w:eastAsia="宋体" w:cs="宋体"/>
          <w:color w:val="000000"/>
          <w:kern w:val="0"/>
          <w:sz w:val="28"/>
          <w:szCs w:val="28"/>
          <w:lang w:val="en-US" w:eastAsia="zh-CN" w:bidi="ar"/>
        </w:rPr>
        <w:t>无效投标文件</w:t>
      </w:r>
      <w:r>
        <w:rPr>
          <w:rFonts w:hint="eastAsia" w:ascii="宋体" w:hAnsi="宋体" w:eastAsia="宋体" w:cs="宋体"/>
          <w:b/>
          <w:bCs/>
          <w:color w:val="000000"/>
          <w:kern w:val="0"/>
          <w:sz w:val="28"/>
          <w:szCs w:val="28"/>
          <w:lang w:val="en-US" w:eastAsia="zh-CN" w:bidi="ar"/>
        </w:rPr>
        <w:t>】</w:t>
      </w:r>
    </w:p>
    <w:p w14:paraId="1194A6FE">
      <w:pPr>
        <w:pStyle w:val="4"/>
        <w:spacing w:line="360" w:lineRule="auto"/>
        <w:rPr>
          <w:rFonts w:hint="eastAsia" w:asciiTheme="minorEastAsia" w:hAnsiTheme="minorEastAsia" w:eastAsiaTheme="minorEastAsia"/>
          <w:i w:val="0"/>
          <w:lang w:eastAsia="zh-CN"/>
        </w:rPr>
      </w:pPr>
    </w:p>
    <w:p w14:paraId="0ED729F4">
      <w:pPr>
        <w:spacing w:line="360" w:lineRule="auto"/>
        <w:rPr>
          <w:rFonts w:hint="eastAsia" w:asciiTheme="minorEastAsia" w:hAnsiTheme="minorEastAsia"/>
          <w:lang w:bidi="en-US"/>
        </w:rPr>
      </w:pPr>
    </w:p>
    <w:p w14:paraId="6F713AA6">
      <w:pPr>
        <w:spacing w:line="360" w:lineRule="auto"/>
        <w:ind w:firstLine="4560" w:firstLineChars="1900"/>
        <w:rPr>
          <w:rFonts w:hint="eastAsia" w:asciiTheme="minorEastAsia" w:hAnsiTheme="minorEastAsia"/>
          <w:sz w:val="24"/>
        </w:rPr>
      </w:pPr>
      <w:r>
        <w:rPr>
          <w:rFonts w:hint="eastAsia" w:asciiTheme="minorEastAsia" w:hAnsiTheme="minorEastAsia"/>
          <w:sz w:val="24"/>
        </w:rPr>
        <w:t>投标人名称（加盖公章）：</w:t>
      </w:r>
    </w:p>
    <w:p w14:paraId="65E3D74E">
      <w:pPr>
        <w:spacing w:line="360" w:lineRule="auto"/>
        <w:ind w:firstLine="4516" w:firstLineChars="1882"/>
        <w:rPr>
          <w:rFonts w:hint="eastAsia" w:asciiTheme="minorEastAsia" w:hAnsiTheme="minorEastAsia"/>
          <w:sz w:val="24"/>
          <w:u w:val="single"/>
        </w:rPr>
      </w:pPr>
      <w:r>
        <w:rPr>
          <w:rFonts w:hint="eastAsia" w:asciiTheme="minorEastAsia" w:hAnsiTheme="minorEastAsia"/>
          <w:sz w:val="24"/>
        </w:rPr>
        <w:t>法定代表人</w:t>
      </w:r>
      <w:r>
        <w:rPr>
          <w:rFonts w:asciiTheme="minorEastAsia" w:hAnsiTheme="minorEastAsia"/>
          <w:sz w:val="24"/>
        </w:rPr>
        <w:t>/授权代表（签字）：</w:t>
      </w:r>
    </w:p>
    <w:p w14:paraId="70C7C5D7">
      <w:pPr>
        <w:spacing w:line="360" w:lineRule="auto"/>
        <w:ind w:firstLine="4560" w:firstLineChars="1900"/>
        <w:rPr>
          <w:rFonts w:hint="eastAsia" w:asciiTheme="minorEastAsia" w:hAnsiTheme="minorEastAsia"/>
          <w:sz w:val="24"/>
        </w:rPr>
      </w:pPr>
      <w:r>
        <w:rPr>
          <w:rFonts w:hint="eastAsia" w:asciiTheme="minorEastAsia" w:hAnsiTheme="minorEastAsia"/>
          <w:sz w:val="24"/>
        </w:rPr>
        <w:t>日期：年月日</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3AFDC8A2">
      <w:pPr>
        <w:spacing w:line="360" w:lineRule="auto"/>
        <w:ind w:firstLine="4560" w:firstLineChars="1900"/>
        <w:rPr>
          <w:rFonts w:hint="eastAsia" w:asciiTheme="minorEastAsia" w:hAnsiTheme="minorEastAsia"/>
          <w:sz w:val="24"/>
        </w:rPr>
      </w:pPr>
    </w:p>
    <w:p w14:paraId="3506CEB0">
      <w:pPr>
        <w:spacing w:line="360" w:lineRule="auto"/>
        <w:ind w:firstLine="4560" w:firstLineChars="1900"/>
        <w:rPr>
          <w:rFonts w:hint="eastAsia" w:asciiTheme="minorEastAsia" w:hAnsiTheme="minorEastAsia"/>
          <w:sz w:val="24"/>
        </w:rPr>
      </w:pPr>
    </w:p>
    <w:p w14:paraId="6133F5A0">
      <w:pPr>
        <w:spacing w:line="360" w:lineRule="auto"/>
        <w:ind w:firstLine="4560" w:firstLineChars="1900"/>
        <w:rPr>
          <w:rFonts w:hint="eastAsia" w:asciiTheme="minorEastAsia" w:hAnsiTheme="minorEastAsia"/>
          <w:sz w:val="24"/>
        </w:rPr>
      </w:pPr>
    </w:p>
    <w:p w14:paraId="2162E41A">
      <w:pPr>
        <w:spacing w:line="360" w:lineRule="auto"/>
        <w:ind w:firstLine="4560" w:firstLineChars="1900"/>
        <w:rPr>
          <w:rFonts w:hint="eastAsia" w:asciiTheme="minorEastAsia" w:hAnsiTheme="minorEastAsia"/>
          <w:sz w:val="24"/>
        </w:rPr>
      </w:pPr>
    </w:p>
    <w:p w14:paraId="69D57F47">
      <w:pPr>
        <w:spacing w:line="360" w:lineRule="auto"/>
        <w:ind w:firstLine="4560" w:firstLineChars="1900"/>
        <w:rPr>
          <w:rFonts w:hint="eastAsia" w:asciiTheme="minorEastAsia" w:hAnsiTheme="minorEastAsia"/>
          <w:sz w:val="24"/>
        </w:rPr>
      </w:pPr>
    </w:p>
    <w:p w14:paraId="3E80ABB9">
      <w:pPr>
        <w:spacing w:line="360" w:lineRule="auto"/>
        <w:ind w:firstLine="4560" w:firstLineChars="1900"/>
        <w:rPr>
          <w:rFonts w:hint="eastAsia" w:asciiTheme="minorEastAsia" w:hAnsiTheme="minorEastAsia"/>
          <w:sz w:val="24"/>
        </w:rPr>
      </w:pPr>
    </w:p>
    <w:p w14:paraId="6948A562">
      <w:pPr>
        <w:spacing w:line="360" w:lineRule="auto"/>
        <w:ind w:firstLine="4560" w:firstLineChars="1900"/>
        <w:rPr>
          <w:rFonts w:hint="eastAsia" w:asciiTheme="minorEastAsia" w:hAnsiTheme="minorEastAsia"/>
          <w:sz w:val="24"/>
        </w:rPr>
      </w:pPr>
    </w:p>
    <w:p w14:paraId="22FD7DE4">
      <w:pPr>
        <w:spacing w:line="360" w:lineRule="auto"/>
        <w:ind w:firstLine="4560" w:firstLineChars="1900"/>
        <w:rPr>
          <w:rFonts w:hint="eastAsia" w:asciiTheme="minorEastAsia" w:hAnsiTheme="minorEastAsia"/>
          <w:sz w:val="24"/>
        </w:rPr>
      </w:pPr>
    </w:p>
    <w:p w14:paraId="71D34CC5">
      <w:pPr>
        <w:spacing w:line="360" w:lineRule="auto"/>
        <w:ind w:firstLine="4560" w:firstLineChars="1900"/>
        <w:rPr>
          <w:rFonts w:hint="eastAsia" w:asciiTheme="minorEastAsia" w:hAnsiTheme="minorEastAsia"/>
          <w:sz w:val="24"/>
        </w:rPr>
      </w:pPr>
    </w:p>
    <w:p w14:paraId="52352391">
      <w:pPr>
        <w:spacing w:line="360" w:lineRule="auto"/>
        <w:ind w:firstLine="4560" w:firstLineChars="1900"/>
        <w:rPr>
          <w:rFonts w:hint="eastAsia" w:asciiTheme="minorEastAsia" w:hAnsiTheme="minorEastAsia"/>
          <w:sz w:val="24"/>
        </w:rPr>
      </w:pPr>
    </w:p>
    <w:p w14:paraId="5BA25135">
      <w:pPr>
        <w:spacing w:line="360" w:lineRule="auto"/>
        <w:ind w:firstLine="4560" w:firstLineChars="1900"/>
        <w:rPr>
          <w:rFonts w:hint="eastAsia" w:asciiTheme="minorEastAsia" w:hAnsiTheme="minorEastAsia"/>
          <w:sz w:val="24"/>
        </w:rPr>
      </w:pPr>
    </w:p>
    <w:p w14:paraId="34B50C40">
      <w:pPr>
        <w:spacing w:line="360" w:lineRule="auto"/>
        <w:ind w:firstLine="4560" w:firstLineChars="1900"/>
        <w:rPr>
          <w:rFonts w:hint="eastAsia" w:asciiTheme="minorEastAsia" w:hAnsiTheme="minorEastAsia"/>
          <w:sz w:val="24"/>
        </w:rPr>
      </w:pPr>
    </w:p>
    <w:p w14:paraId="7D124ECB">
      <w:pPr>
        <w:spacing w:line="360" w:lineRule="auto"/>
        <w:ind w:firstLine="4560" w:firstLineChars="1900"/>
        <w:rPr>
          <w:rFonts w:hint="eastAsia" w:asciiTheme="minorEastAsia" w:hAnsiTheme="minorEastAsia"/>
          <w:sz w:val="24"/>
        </w:rPr>
      </w:pPr>
    </w:p>
    <w:p w14:paraId="4265BB34">
      <w:pPr>
        <w:spacing w:line="360" w:lineRule="auto"/>
        <w:ind w:firstLine="4560" w:firstLineChars="1900"/>
        <w:rPr>
          <w:rFonts w:hint="eastAsia" w:asciiTheme="minorEastAsia" w:hAnsiTheme="minorEastAsia"/>
          <w:sz w:val="24"/>
        </w:rPr>
      </w:pPr>
    </w:p>
    <w:p w14:paraId="53CBA4AA">
      <w:pPr>
        <w:spacing w:line="360" w:lineRule="auto"/>
        <w:ind w:firstLine="4560" w:firstLineChars="1900"/>
        <w:rPr>
          <w:rFonts w:hint="eastAsia" w:asciiTheme="minorEastAsia" w:hAnsiTheme="minorEastAsia"/>
          <w:sz w:val="24"/>
        </w:rPr>
      </w:pPr>
    </w:p>
    <w:p w14:paraId="4678E161">
      <w:pPr>
        <w:spacing w:line="360" w:lineRule="auto"/>
        <w:ind w:firstLine="4560" w:firstLineChars="1900"/>
        <w:rPr>
          <w:rFonts w:hint="eastAsia" w:asciiTheme="minorEastAsia" w:hAnsiTheme="minorEastAsia"/>
          <w:sz w:val="24"/>
        </w:rPr>
      </w:pPr>
    </w:p>
    <w:p w14:paraId="266B14FD">
      <w:pPr>
        <w:spacing w:line="360" w:lineRule="auto"/>
        <w:rPr>
          <w:rFonts w:hint="eastAsia" w:asciiTheme="minorEastAsia" w:hAnsiTheme="minorEastAsia"/>
          <w:sz w:val="24"/>
          <w:u w:val="single"/>
        </w:rPr>
      </w:pPr>
    </w:p>
    <w:p w14:paraId="75110413">
      <w:pPr>
        <w:spacing w:line="360" w:lineRule="auto"/>
        <w:jc w:val="left"/>
        <w:rPr>
          <w:rFonts w:hint="eastAsia" w:asciiTheme="minorEastAsia" w:hAnsiTheme="minorEastAsia"/>
          <w:b/>
          <w:sz w:val="28"/>
          <w:szCs w:val="28"/>
        </w:rPr>
      </w:pPr>
      <w:bookmarkStart w:id="126" w:name="_Toc389642131"/>
      <w:r>
        <w:rPr>
          <w:rFonts w:hint="eastAsia" w:asciiTheme="minorEastAsia" w:hAnsiTheme="minorEastAsia"/>
          <w:b/>
          <w:sz w:val="28"/>
          <w:szCs w:val="28"/>
        </w:rPr>
        <w:t>4</w:t>
      </w:r>
      <w:r>
        <w:rPr>
          <w:rFonts w:asciiTheme="minorEastAsia" w:hAnsiTheme="minorEastAsia"/>
          <w:b/>
          <w:sz w:val="28"/>
          <w:szCs w:val="28"/>
        </w:rPr>
        <w:t>.</w:t>
      </w:r>
      <w:r>
        <w:rPr>
          <w:rFonts w:hint="eastAsia" w:asciiTheme="minorEastAsia" w:hAnsiTheme="minorEastAsia"/>
          <w:b/>
          <w:sz w:val="28"/>
          <w:szCs w:val="28"/>
        </w:rPr>
        <w:t>7</w:t>
      </w:r>
      <w:r>
        <w:rPr>
          <w:rFonts w:asciiTheme="minorEastAsia" w:hAnsiTheme="minorEastAsia"/>
          <w:b/>
          <w:sz w:val="28"/>
          <w:szCs w:val="28"/>
        </w:rPr>
        <w:t>保密承诺函</w:t>
      </w:r>
      <w:bookmarkEnd w:id="126"/>
    </w:p>
    <w:p w14:paraId="28D648C3">
      <w:pPr>
        <w:autoSpaceDE w:val="0"/>
        <w:autoSpaceDN w:val="0"/>
        <w:adjustRightInd w:val="0"/>
        <w:spacing w:line="360" w:lineRule="auto"/>
        <w:ind w:firstLine="787" w:firstLineChars="328"/>
        <w:jc w:val="left"/>
        <w:rPr>
          <w:rFonts w:hint="eastAsia" w:asciiTheme="minorEastAsia" w:hAnsiTheme="minorEastAsia"/>
          <w:bCs/>
          <w:sz w:val="24"/>
          <w:szCs w:val="24"/>
        </w:rPr>
      </w:pPr>
      <w:r>
        <w:rPr>
          <w:rFonts w:hint="eastAsia" w:asciiTheme="minorEastAsia" w:hAnsiTheme="minorEastAsia"/>
          <w:bCs/>
          <w:sz w:val="24"/>
          <w:szCs w:val="24"/>
        </w:rPr>
        <w:t>鉴于本公司及相关人</w:t>
      </w:r>
      <w:r>
        <w:rPr>
          <w:rFonts w:hint="eastAsia" w:cs="宋体" w:asciiTheme="minorEastAsia" w:hAnsiTheme="minorEastAsia"/>
          <w:kern w:val="0"/>
          <w:sz w:val="24"/>
          <w:szCs w:val="24"/>
        </w:rPr>
        <w:t>员参加了国联汽车动力电池研究院有限责任公司（以下简称“国联研究院”）【国家动力电池创新中心强化创新能力建设“两重”建设项目-</w:t>
      </w:r>
      <w:r>
        <w:rPr>
          <w:rFonts w:hint="eastAsia" w:cs="宋体" w:asciiTheme="minorEastAsia" w:hAnsiTheme="minorEastAsia"/>
          <w:kern w:val="0"/>
          <w:sz w:val="24"/>
          <w:szCs w:val="24"/>
          <w:lang w:val="en-US" w:eastAsia="zh-CN"/>
        </w:rPr>
        <w:t>密闭干燥温度控制系统</w:t>
      </w:r>
      <w:r>
        <w:rPr>
          <w:rFonts w:hint="eastAsia" w:cs="宋体" w:asciiTheme="minorEastAsia" w:hAnsiTheme="minorEastAsia"/>
          <w:kern w:val="0"/>
          <w:sz w:val="24"/>
          <w:szCs w:val="24"/>
        </w:rPr>
        <w:t>】项目</w:t>
      </w:r>
      <w:r>
        <w:rPr>
          <w:rFonts w:hint="eastAsia" w:asciiTheme="minorEastAsia" w:hAnsiTheme="minorEastAsia"/>
          <w:bCs/>
          <w:sz w:val="24"/>
          <w:szCs w:val="24"/>
        </w:rPr>
        <w:t>内部议标活动，特此承诺：</w:t>
      </w:r>
    </w:p>
    <w:p w14:paraId="3FB21E0E">
      <w:pPr>
        <w:autoSpaceDE w:val="0"/>
        <w:autoSpaceDN w:val="0"/>
        <w:adjustRightInd w:val="0"/>
        <w:spacing w:line="360" w:lineRule="auto"/>
        <w:jc w:val="left"/>
        <w:rPr>
          <w:rFonts w:hint="eastAsia" w:asciiTheme="minorEastAsia" w:hAnsiTheme="minorEastAsia"/>
          <w:bCs/>
          <w:sz w:val="24"/>
          <w:szCs w:val="24"/>
        </w:rPr>
      </w:pPr>
      <w:r>
        <w:rPr>
          <w:rFonts w:asciiTheme="minorEastAsia" w:hAnsiTheme="minorEastAsia"/>
          <w:bCs/>
          <w:sz w:val="24"/>
          <w:szCs w:val="24"/>
        </w:rPr>
        <w:t>1</w:t>
      </w:r>
      <w:r>
        <w:rPr>
          <w:rFonts w:hint="eastAsia" w:asciiTheme="minorEastAsia" w:hAnsiTheme="minorEastAsia"/>
          <w:bCs/>
          <w:sz w:val="24"/>
          <w:szCs w:val="24"/>
        </w:rPr>
        <w:t>、国联研究院提供的议标文件所有信息仅作为投标人制作投标文件使用，不得作为其他事项使用。未经国联研究院事先书面同意，本公司及相关人员不得把国联研究院企业相关数据、经营情况，以及由于参加内部议标及因中标而了解或可能了解到的部分或全部非公开信息向任何第三方泄露或用于本项目的目的之外。</w:t>
      </w:r>
    </w:p>
    <w:p w14:paraId="2F37E849">
      <w:pPr>
        <w:autoSpaceDE w:val="0"/>
        <w:autoSpaceDN w:val="0"/>
        <w:adjustRightInd w:val="0"/>
        <w:spacing w:line="360" w:lineRule="auto"/>
        <w:jc w:val="left"/>
        <w:rPr>
          <w:rFonts w:hint="eastAsia" w:asciiTheme="minorEastAsia" w:hAnsiTheme="minorEastAsia"/>
          <w:bCs/>
          <w:sz w:val="24"/>
          <w:szCs w:val="24"/>
        </w:rPr>
      </w:pPr>
      <w:r>
        <w:rPr>
          <w:rFonts w:asciiTheme="minorEastAsia" w:hAnsiTheme="minorEastAsia"/>
          <w:bCs/>
          <w:sz w:val="24"/>
          <w:szCs w:val="24"/>
        </w:rPr>
        <w:t>2</w:t>
      </w:r>
      <w:r>
        <w:rPr>
          <w:rFonts w:hint="eastAsia" w:asciiTheme="minorEastAsia" w:hAnsiTheme="minorEastAsia"/>
          <w:bCs/>
          <w:sz w:val="24"/>
          <w:szCs w:val="24"/>
        </w:rPr>
        <w:t>、未经国联研究院事先书面同意，本公司及相关人员不得把国联研究院组织相关工作的方案、细则、工作结果、意见、评价结论向任何第三方泄露或用于本项目的目的之外。</w:t>
      </w:r>
    </w:p>
    <w:p w14:paraId="0ED71343">
      <w:pPr>
        <w:autoSpaceDE w:val="0"/>
        <w:autoSpaceDN w:val="0"/>
        <w:adjustRightInd w:val="0"/>
        <w:spacing w:line="360" w:lineRule="auto"/>
        <w:jc w:val="left"/>
        <w:rPr>
          <w:rFonts w:hint="eastAsia" w:asciiTheme="minorEastAsia" w:hAnsiTheme="minorEastAsia"/>
          <w:bCs/>
          <w:sz w:val="24"/>
          <w:szCs w:val="24"/>
        </w:rPr>
      </w:pPr>
      <w:r>
        <w:rPr>
          <w:rFonts w:asciiTheme="minorEastAsia" w:hAnsiTheme="minorEastAsia"/>
          <w:bCs/>
          <w:sz w:val="24"/>
          <w:szCs w:val="24"/>
        </w:rPr>
        <w:t>3</w:t>
      </w:r>
      <w:r>
        <w:rPr>
          <w:rFonts w:hint="eastAsia" w:asciiTheme="minorEastAsia" w:hAnsiTheme="minorEastAsia"/>
          <w:bCs/>
          <w:sz w:val="24"/>
          <w:szCs w:val="24"/>
        </w:rPr>
        <w:t>、本公司及相关人员充分了解并知悉，如违反前述承诺，将可能给国联研究院或相关企业带来严重的经济损失或负面影响，本公司将承担由此引起的所有责任和经济损失。</w:t>
      </w:r>
    </w:p>
    <w:p w14:paraId="6C0AA38A">
      <w:pPr>
        <w:autoSpaceDE w:val="0"/>
        <w:autoSpaceDN w:val="0"/>
        <w:adjustRightInd w:val="0"/>
        <w:spacing w:line="360" w:lineRule="auto"/>
        <w:jc w:val="left"/>
        <w:rPr>
          <w:rFonts w:hint="eastAsia" w:asciiTheme="minorEastAsia" w:hAnsiTheme="minorEastAsia"/>
          <w:bCs/>
          <w:sz w:val="24"/>
          <w:szCs w:val="24"/>
        </w:rPr>
      </w:pPr>
      <w:r>
        <w:rPr>
          <w:rFonts w:asciiTheme="minorEastAsia" w:hAnsiTheme="minorEastAsia"/>
          <w:bCs/>
          <w:sz w:val="24"/>
          <w:szCs w:val="24"/>
        </w:rPr>
        <w:t>4</w:t>
      </w:r>
      <w:r>
        <w:rPr>
          <w:rFonts w:hint="eastAsia" w:asciiTheme="minorEastAsia" w:hAnsiTheme="minorEastAsia"/>
          <w:bCs/>
          <w:sz w:val="24"/>
          <w:szCs w:val="24"/>
        </w:rPr>
        <w:t>、本项目终止后，本公司及相关人员仍受该保密义务的约束。</w:t>
      </w:r>
    </w:p>
    <w:p w14:paraId="6F30D9CB">
      <w:pPr>
        <w:autoSpaceDE w:val="0"/>
        <w:autoSpaceDN w:val="0"/>
        <w:adjustRightInd w:val="0"/>
        <w:spacing w:line="360" w:lineRule="auto"/>
        <w:ind w:firstLine="480"/>
        <w:jc w:val="left"/>
        <w:rPr>
          <w:rFonts w:hint="eastAsia" w:asciiTheme="minorEastAsia" w:hAnsiTheme="minorEastAsia"/>
          <w:bCs/>
          <w:sz w:val="24"/>
          <w:szCs w:val="24"/>
        </w:rPr>
      </w:pPr>
    </w:p>
    <w:p w14:paraId="402039E8">
      <w:pPr>
        <w:autoSpaceDE w:val="0"/>
        <w:autoSpaceDN w:val="0"/>
        <w:adjustRightInd w:val="0"/>
        <w:spacing w:line="360" w:lineRule="auto"/>
        <w:jc w:val="left"/>
        <w:rPr>
          <w:rFonts w:hint="eastAsia" w:asciiTheme="minorEastAsia" w:hAnsiTheme="minorEastAsia"/>
          <w:bCs/>
          <w:sz w:val="24"/>
          <w:szCs w:val="24"/>
        </w:rPr>
      </w:pPr>
    </w:p>
    <w:p w14:paraId="2F5A482F">
      <w:pPr>
        <w:spacing w:line="360" w:lineRule="auto"/>
        <w:ind w:firstLine="4560" w:firstLineChars="1900"/>
        <w:rPr>
          <w:rFonts w:hint="eastAsia" w:asciiTheme="minorEastAsia" w:hAnsiTheme="minorEastAsia"/>
          <w:sz w:val="24"/>
        </w:rPr>
      </w:pPr>
      <w:r>
        <w:rPr>
          <w:rFonts w:hint="eastAsia" w:asciiTheme="minorEastAsia" w:hAnsiTheme="minorEastAsia"/>
          <w:sz w:val="24"/>
        </w:rPr>
        <w:t>投标人名称（加盖公章）：</w:t>
      </w:r>
    </w:p>
    <w:p w14:paraId="358FF0D1">
      <w:pPr>
        <w:spacing w:line="360" w:lineRule="auto"/>
        <w:ind w:firstLine="4516" w:firstLineChars="1882"/>
        <w:rPr>
          <w:rFonts w:hint="eastAsia" w:asciiTheme="minorEastAsia" w:hAnsiTheme="minorEastAsia"/>
          <w:sz w:val="24"/>
          <w:u w:val="single"/>
        </w:rPr>
      </w:pPr>
      <w:r>
        <w:rPr>
          <w:rFonts w:hint="eastAsia" w:asciiTheme="minorEastAsia" w:hAnsiTheme="minorEastAsia"/>
          <w:sz w:val="24"/>
        </w:rPr>
        <w:t>法定代表人</w:t>
      </w:r>
      <w:r>
        <w:rPr>
          <w:rFonts w:asciiTheme="minorEastAsia" w:hAnsiTheme="minorEastAsia"/>
          <w:sz w:val="24"/>
        </w:rPr>
        <w:t>/授权代表（签字）：</w:t>
      </w:r>
    </w:p>
    <w:p w14:paraId="6E164F2D">
      <w:pPr>
        <w:spacing w:line="360" w:lineRule="auto"/>
        <w:ind w:firstLine="4560" w:firstLineChars="1900"/>
        <w:rPr>
          <w:rFonts w:hint="eastAsia" w:asciiTheme="minorEastAsia" w:hAnsiTheme="minorEastAsia"/>
          <w:sz w:val="24"/>
          <w:u w:val="single"/>
        </w:rPr>
      </w:pPr>
      <w:r>
        <w:rPr>
          <w:rFonts w:hint="eastAsia" w:asciiTheme="minorEastAsia" w:hAnsiTheme="minorEastAsia"/>
          <w:sz w:val="24"/>
        </w:rPr>
        <w:t>日期：年月日</w:t>
      </w:r>
    </w:p>
    <w:p w14:paraId="68E85599">
      <w:pPr>
        <w:spacing w:line="360" w:lineRule="auto"/>
        <w:ind w:firstLine="420"/>
        <w:rPr>
          <w:rFonts w:hint="eastAsia" w:asciiTheme="minorEastAsia" w:hAnsiTheme="minorEastAsia"/>
        </w:rPr>
      </w:pPr>
    </w:p>
    <w:p w14:paraId="3428D049">
      <w:pPr>
        <w:spacing w:line="360" w:lineRule="auto"/>
        <w:ind w:firstLine="420"/>
        <w:rPr>
          <w:rFonts w:hint="eastAsia" w:asciiTheme="minorEastAsia" w:hAnsiTheme="minorEastAsia"/>
        </w:rPr>
      </w:pPr>
    </w:p>
    <w:p w14:paraId="1CCB441B">
      <w:pPr>
        <w:spacing w:line="360" w:lineRule="auto"/>
        <w:ind w:firstLine="420"/>
        <w:rPr>
          <w:rFonts w:hint="eastAsia" w:asciiTheme="minorEastAsia" w:hAnsiTheme="minorEastAsia"/>
        </w:rPr>
      </w:pPr>
    </w:p>
    <w:p w14:paraId="3D009381">
      <w:pPr>
        <w:spacing w:line="360" w:lineRule="auto"/>
        <w:ind w:firstLine="420"/>
        <w:rPr>
          <w:rFonts w:hint="eastAsia" w:asciiTheme="minorEastAsia" w:hAnsiTheme="minorEastAsia"/>
        </w:rPr>
      </w:pPr>
    </w:p>
    <w:p w14:paraId="5A279194">
      <w:pPr>
        <w:spacing w:line="360" w:lineRule="auto"/>
        <w:ind w:firstLine="420"/>
        <w:rPr>
          <w:rFonts w:hint="eastAsia" w:asciiTheme="minorEastAsia" w:hAnsiTheme="minorEastAsia"/>
        </w:rPr>
      </w:pPr>
    </w:p>
    <w:p w14:paraId="3B08D32D">
      <w:pPr>
        <w:spacing w:line="360" w:lineRule="auto"/>
        <w:ind w:firstLine="420"/>
        <w:rPr>
          <w:rFonts w:hint="eastAsia" w:asciiTheme="minorEastAsia" w:hAnsiTheme="minorEastAsia"/>
        </w:rPr>
      </w:pPr>
    </w:p>
    <w:p w14:paraId="5C9A3B37">
      <w:pPr>
        <w:spacing w:line="360" w:lineRule="auto"/>
        <w:ind w:firstLine="420"/>
        <w:rPr>
          <w:rFonts w:hint="eastAsia" w:asciiTheme="minorEastAsia" w:hAnsiTheme="minorEastAsia"/>
        </w:rPr>
      </w:pPr>
    </w:p>
    <w:p w14:paraId="23DE8CF7">
      <w:pPr>
        <w:spacing w:line="360" w:lineRule="auto"/>
        <w:ind w:firstLine="420"/>
        <w:rPr>
          <w:rFonts w:hint="eastAsia" w:asciiTheme="minorEastAsia" w:hAnsiTheme="minorEastAsia"/>
        </w:rPr>
      </w:pPr>
    </w:p>
    <w:p w14:paraId="2BD2AD5C">
      <w:pPr>
        <w:spacing w:line="360" w:lineRule="auto"/>
        <w:ind w:firstLine="420"/>
        <w:rPr>
          <w:rFonts w:hint="eastAsia" w:asciiTheme="minorEastAsia" w:hAnsiTheme="minorEastAsia"/>
        </w:rPr>
      </w:pPr>
    </w:p>
    <w:p w14:paraId="4C515CCA">
      <w:pPr>
        <w:pStyle w:val="110"/>
        <w:spacing w:after="0" w:line="360" w:lineRule="auto"/>
        <w:rPr>
          <w:rFonts w:hint="eastAsia" w:asciiTheme="minorEastAsia" w:hAnsiTheme="minorEastAsia"/>
          <w:b/>
          <w:color w:val="auto"/>
          <w:sz w:val="28"/>
          <w:szCs w:val="28"/>
        </w:rPr>
      </w:pPr>
      <w:bookmarkStart w:id="127" w:name="_Toc389642132"/>
    </w:p>
    <w:p w14:paraId="68619E54">
      <w:pPr>
        <w:pStyle w:val="110"/>
        <w:spacing w:after="0" w:line="360" w:lineRule="auto"/>
        <w:rPr>
          <w:rFonts w:hint="eastAsia" w:asciiTheme="minorEastAsia" w:hAnsiTheme="minorEastAsia"/>
          <w:b/>
          <w:color w:val="auto"/>
          <w:sz w:val="28"/>
          <w:szCs w:val="28"/>
        </w:rPr>
      </w:pPr>
    </w:p>
    <w:p w14:paraId="0403DA68">
      <w:pPr>
        <w:spacing w:line="360" w:lineRule="auto"/>
        <w:jc w:val="left"/>
        <w:rPr>
          <w:rFonts w:hint="eastAsia" w:asciiTheme="minorEastAsia" w:hAnsiTheme="minorEastAsia"/>
          <w:b/>
          <w:sz w:val="28"/>
          <w:szCs w:val="28"/>
        </w:rPr>
      </w:pPr>
      <w:r>
        <w:rPr>
          <w:rFonts w:hint="eastAsia" w:asciiTheme="minorEastAsia" w:hAnsiTheme="minorEastAsia"/>
          <w:b/>
          <w:sz w:val="28"/>
          <w:szCs w:val="28"/>
        </w:rPr>
        <w:t>4</w:t>
      </w:r>
      <w:r>
        <w:rPr>
          <w:rFonts w:asciiTheme="minorEastAsia" w:hAnsiTheme="minorEastAsia"/>
          <w:b/>
          <w:sz w:val="28"/>
          <w:szCs w:val="28"/>
        </w:rPr>
        <w:t>.</w:t>
      </w:r>
      <w:r>
        <w:rPr>
          <w:rFonts w:hint="eastAsia" w:asciiTheme="minorEastAsia" w:hAnsiTheme="minorEastAsia"/>
          <w:b/>
          <w:sz w:val="28"/>
          <w:szCs w:val="28"/>
        </w:rPr>
        <w:t>8</w:t>
      </w:r>
      <w:r>
        <w:rPr>
          <w:rFonts w:asciiTheme="minorEastAsia" w:hAnsiTheme="minorEastAsia"/>
          <w:b/>
          <w:sz w:val="28"/>
          <w:szCs w:val="28"/>
        </w:rPr>
        <w:t>其他</w:t>
      </w:r>
      <w:bookmarkEnd w:id="127"/>
    </w:p>
    <w:p w14:paraId="22DE6BC0">
      <w:pPr>
        <w:spacing w:line="360" w:lineRule="auto"/>
        <w:rPr>
          <w:bCs/>
          <w:sz w:val="24"/>
          <w:szCs w:val="24"/>
        </w:rPr>
      </w:pPr>
      <w:bookmarkStart w:id="128" w:name="_Toc389559455"/>
      <w:bookmarkStart w:id="129" w:name="_Toc389572284"/>
      <w:bookmarkStart w:id="130" w:name="_Toc389559280"/>
      <w:r>
        <w:rPr>
          <w:bCs/>
          <w:sz w:val="24"/>
          <w:szCs w:val="24"/>
        </w:rPr>
        <w:t>1</w:t>
      </w:r>
      <w:r>
        <w:rPr>
          <w:rFonts w:hint="eastAsia"/>
          <w:bCs/>
          <w:sz w:val="24"/>
          <w:szCs w:val="24"/>
        </w:rPr>
        <w:t>、国联研究院供应商信息收集表</w:t>
      </w:r>
      <w:r>
        <w:rPr>
          <w:bCs/>
          <w:sz w:val="24"/>
          <w:szCs w:val="24"/>
        </w:rPr>
        <w:t xml:space="preserve">  (</w:t>
      </w:r>
      <w:r>
        <w:rPr>
          <w:rFonts w:hint="eastAsia"/>
          <w:b/>
          <w:bCs/>
          <w:sz w:val="24"/>
          <w:szCs w:val="24"/>
        </w:rPr>
        <w:t>发送投标文件时另附电子版</w:t>
      </w:r>
      <w:r>
        <w:rPr>
          <w:bCs/>
          <w:sz w:val="24"/>
          <w:szCs w:val="24"/>
        </w:rPr>
        <w:t xml:space="preserve">) </w:t>
      </w:r>
    </w:p>
    <w:p w14:paraId="49D85F6B">
      <w:pPr>
        <w:spacing w:line="360" w:lineRule="auto"/>
        <w:jc w:val="center"/>
        <w:rPr>
          <w:rFonts w:hint="eastAsia" w:asciiTheme="minorEastAsia" w:hAnsiTheme="minorEastAsia"/>
          <w:bCs/>
          <w:sz w:val="24"/>
          <w:szCs w:val="24"/>
        </w:rPr>
      </w:pPr>
      <w:r>
        <w:rPr>
          <w:rFonts w:hint="eastAsia" w:asciiTheme="minorEastAsia" w:hAnsiTheme="minorEastAsia"/>
          <w:bCs/>
          <w:sz w:val="24"/>
          <w:szCs w:val="24"/>
        </w:rPr>
        <w:drawing>
          <wp:inline distT="0" distB="0" distL="114300" distR="114300">
            <wp:extent cx="4208780" cy="9481820"/>
            <wp:effectExtent l="0" t="0" r="12700" b="12700"/>
            <wp:docPr id="1" name="图片 1" descr="1653356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3356845(1)"/>
                    <pic:cNvPicPr>
                      <a:picLocks noChangeAspect="1"/>
                    </pic:cNvPicPr>
                  </pic:nvPicPr>
                  <pic:blipFill>
                    <a:blip r:embed="rId16"/>
                    <a:stretch>
                      <a:fillRect/>
                    </a:stretch>
                  </pic:blipFill>
                  <pic:spPr>
                    <a:xfrm>
                      <a:off x="0" y="0"/>
                      <a:ext cx="4208780" cy="9481820"/>
                    </a:xfrm>
                    <a:prstGeom prst="rect">
                      <a:avLst/>
                    </a:prstGeom>
                  </pic:spPr>
                </pic:pic>
              </a:graphicData>
            </a:graphic>
          </wp:inline>
        </w:drawing>
      </w:r>
    </w:p>
    <w:p w14:paraId="0CD16E55">
      <w:pPr>
        <w:spacing w:line="360" w:lineRule="auto"/>
        <w:rPr>
          <w:rFonts w:hint="eastAsia" w:asciiTheme="minorEastAsia" w:hAnsiTheme="minorEastAsia"/>
          <w:sz w:val="24"/>
          <w:szCs w:val="24"/>
        </w:rPr>
      </w:pPr>
      <w:r>
        <w:rPr>
          <w:rFonts w:asciiTheme="minorEastAsia" w:hAnsiTheme="minorEastAsia"/>
          <w:sz w:val="24"/>
        </w:rPr>
        <w:t>2、业绩证明文件</w:t>
      </w:r>
      <w:r>
        <w:rPr>
          <w:rFonts w:hint="eastAsia" w:asciiTheme="minorEastAsia" w:hAnsiTheme="minorEastAsia"/>
          <w:sz w:val="24"/>
          <w:szCs w:val="24"/>
        </w:rPr>
        <w:t>（需加盖公司公章）</w:t>
      </w:r>
      <w:bookmarkEnd w:id="128"/>
      <w:bookmarkEnd w:id="129"/>
      <w:bookmarkEnd w:id="130"/>
    </w:p>
    <w:p w14:paraId="598259EA">
      <w:pPr>
        <w:spacing w:line="360" w:lineRule="auto"/>
        <w:rPr>
          <w:rFonts w:hint="eastAsia" w:asciiTheme="minorEastAsia" w:hAnsiTheme="minorEastAsia"/>
          <w:bCs/>
          <w:sz w:val="24"/>
          <w:szCs w:val="24"/>
        </w:rPr>
      </w:pPr>
      <w:r>
        <w:rPr>
          <w:rFonts w:hint="eastAsia" w:asciiTheme="minorEastAsia" w:hAnsiTheme="minorEastAsia"/>
          <w:sz w:val="24"/>
          <w:szCs w:val="24"/>
        </w:rPr>
        <w:t>如公司近三年类似产品制造或销售项目业绩等。</w:t>
      </w:r>
    </w:p>
    <w:tbl>
      <w:tblPr>
        <w:tblStyle w:val="77"/>
        <w:tblW w:w="47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1318"/>
        <w:gridCol w:w="1316"/>
        <w:gridCol w:w="1776"/>
        <w:gridCol w:w="2507"/>
      </w:tblGrid>
      <w:tr w14:paraId="41DD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1049" w:type="pct"/>
            <w:vAlign w:val="center"/>
          </w:tcPr>
          <w:p w14:paraId="78C05832">
            <w:pPr>
              <w:spacing w:line="360" w:lineRule="auto"/>
              <w:rPr>
                <w:rFonts w:hint="eastAsia" w:asciiTheme="minorEastAsia" w:hAnsiTheme="minorEastAsia"/>
                <w:szCs w:val="21"/>
              </w:rPr>
            </w:pPr>
            <w:r>
              <w:rPr>
                <w:rFonts w:hint="eastAsia" w:cs="宋体" w:asciiTheme="minorEastAsia" w:hAnsiTheme="minorEastAsia"/>
                <w:kern w:val="0"/>
                <w:szCs w:val="21"/>
              </w:rPr>
              <w:t>合同编号</w:t>
            </w:r>
          </w:p>
        </w:tc>
        <w:tc>
          <w:tcPr>
            <w:tcW w:w="757" w:type="pct"/>
            <w:vAlign w:val="center"/>
          </w:tcPr>
          <w:p w14:paraId="06046F7A">
            <w:pPr>
              <w:spacing w:line="360" w:lineRule="auto"/>
              <w:jc w:val="center"/>
              <w:rPr>
                <w:rFonts w:hint="eastAsia" w:asciiTheme="minorEastAsia" w:hAnsiTheme="minorEastAsia"/>
                <w:szCs w:val="21"/>
              </w:rPr>
            </w:pPr>
            <w:r>
              <w:rPr>
                <w:rFonts w:hint="eastAsia" w:asciiTheme="minorEastAsia" w:hAnsiTheme="minorEastAsia"/>
                <w:szCs w:val="21"/>
              </w:rPr>
              <w:t>项目名称</w:t>
            </w:r>
          </w:p>
        </w:tc>
        <w:tc>
          <w:tcPr>
            <w:tcW w:w="756" w:type="pct"/>
            <w:vAlign w:val="center"/>
          </w:tcPr>
          <w:p w14:paraId="733551CA">
            <w:pPr>
              <w:spacing w:line="360" w:lineRule="auto"/>
              <w:jc w:val="center"/>
              <w:rPr>
                <w:rFonts w:hint="eastAsia" w:asciiTheme="minorEastAsia" w:hAnsiTheme="minorEastAsia"/>
                <w:szCs w:val="21"/>
              </w:rPr>
            </w:pPr>
            <w:r>
              <w:rPr>
                <w:rFonts w:hint="eastAsia" w:asciiTheme="minorEastAsia" w:hAnsiTheme="minorEastAsia"/>
                <w:szCs w:val="21"/>
              </w:rPr>
              <w:t>项目单位</w:t>
            </w:r>
          </w:p>
        </w:tc>
        <w:tc>
          <w:tcPr>
            <w:tcW w:w="1014" w:type="pct"/>
            <w:vAlign w:val="center"/>
          </w:tcPr>
          <w:p w14:paraId="5F8FB49B">
            <w:pPr>
              <w:spacing w:line="360" w:lineRule="auto"/>
              <w:jc w:val="center"/>
              <w:rPr>
                <w:rFonts w:hint="eastAsia" w:cs="宋体" w:asciiTheme="minorEastAsia" w:hAnsiTheme="minorEastAsia"/>
                <w:kern w:val="0"/>
                <w:szCs w:val="21"/>
              </w:rPr>
            </w:pPr>
            <w:r>
              <w:rPr>
                <w:rFonts w:hint="eastAsia" w:cs="宋体" w:asciiTheme="minorEastAsia" w:hAnsiTheme="minorEastAsia"/>
                <w:kern w:val="0"/>
                <w:szCs w:val="21"/>
              </w:rPr>
              <w:t>合同签订时间</w:t>
            </w:r>
          </w:p>
        </w:tc>
        <w:tc>
          <w:tcPr>
            <w:tcW w:w="1424" w:type="pct"/>
            <w:vAlign w:val="center"/>
          </w:tcPr>
          <w:p w14:paraId="271092D3">
            <w:pPr>
              <w:spacing w:line="360" w:lineRule="auto"/>
              <w:jc w:val="center"/>
              <w:rPr>
                <w:rFonts w:hint="eastAsia" w:asciiTheme="minorEastAsia" w:hAnsiTheme="minorEastAsia"/>
                <w:spacing w:val="-20"/>
                <w:szCs w:val="21"/>
              </w:rPr>
            </w:pPr>
            <w:r>
              <w:rPr>
                <w:rFonts w:hint="eastAsia" w:asciiTheme="minorEastAsia" w:hAnsiTheme="minorEastAsia"/>
                <w:spacing w:val="-20"/>
                <w:szCs w:val="21"/>
              </w:rPr>
              <w:t>合同履行情况</w:t>
            </w:r>
          </w:p>
        </w:tc>
      </w:tr>
      <w:tr w14:paraId="2E2A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66BC31C9">
            <w:pPr>
              <w:widowControl/>
              <w:spacing w:line="360" w:lineRule="auto"/>
              <w:jc w:val="center"/>
              <w:rPr>
                <w:rFonts w:hint="eastAsia" w:cs="宋体" w:asciiTheme="minorEastAsia" w:hAnsiTheme="minorEastAsia"/>
                <w:kern w:val="0"/>
                <w:sz w:val="24"/>
              </w:rPr>
            </w:pPr>
            <w:r>
              <w:rPr>
                <w:rFonts w:hint="eastAsia" w:cs="宋体" w:asciiTheme="minorEastAsia" w:hAnsiTheme="minorEastAsia"/>
                <w:kern w:val="0"/>
                <w:sz w:val="24"/>
              </w:rPr>
              <w:t>合同</w:t>
            </w:r>
            <w:r>
              <w:rPr>
                <w:rFonts w:cs="宋体" w:asciiTheme="minorEastAsia" w:hAnsiTheme="minorEastAsia"/>
                <w:kern w:val="0"/>
                <w:sz w:val="24"/>
              </w:rPr>
              <w:t>1</w:t>
            </w:r>
          </w:p>
        </w:tc>
        <w:tc>
          <w:tcPr>
            <w:tcW w:w="757" w:type="pct"/>
            <w:vAlign w:val="center"/>
          </w:tcPr>
          <w:p w14:paraId="5CCECC87">
            <w:pPr>
              <w:spacing w:line="360" w:lineRule="auto"/>
              <w:ind w:firstLine="480"/>
              <w:jc w:val="center"/>
              <w:rPr>
                <w:rFonts w:hint="eastAsia" w:asciiTheme="minorEastAsia" w:hAnsiTheme="minorEastAsia"/>
                <w:sz w:val="24"/>
              </w:rPr>
            </w:pPr>
          </w:p>
        </w:tc>
        <w:tc>
          <w:tcPr>
            <w:tcW w:w="756" w:type="pct"/>
            <w:vAlign w:val="center"/>
          </w:tcPr>
          <w:p w14:paraId="04892F16">
            <w:pPr>
              <w:spacing w:line="360" w:lineRule="auto"/>
              <w:ind w:firstLine="480"/>
              <w:jc w:val="center"/>
              <w:rPr>
                <w:rFonts w:hint="eastAsia" w:asciiTheme="minorEastAsia" w:hAnsiTheme="minorEastAsia"/>
                <w:sz w:val="24"/>
              </w:rPr>
            </w:pPr>
          </w:p>
        </w:tc>
        <w:tc>
          <w:tcPr>
            <w:tcW w:w="1014" w:type="pct"/>
            <w:vAlign w:val="center"/>
          </w:tcPr>
          <w:p w14:paraId="1DE022E1">
            <w:pPr>
              <w:spacing w:line="360" w:lineRule="auto"/>
              <w:ind w:firstLine="480"/>
              <w:jc w:val="center"/>
              <w:rPr>
                <w:rFonts w:hint="eastAsia" w:asciiTheme="minorEastAsia" w:hAnsiTheme="minorEastAsia"/>
                <w:sz w:val="24"/>
              </w:rPr>
            </w:pPr>
          </w:p>
        </w:tc>
        <w:tc>
          <w:tcPr>
            <w:tcW w:w="1424" w:type="pct"/>
          </w:tcPr>
          <w:p w14:paraId="3AA6DAF2">
            <w:pPr>
              <w:spacing w:line="360" w:lineRule="auto"/>
              <w:ind w:firstLine="480"/>
              <w:jc w:val="center"/>
              <w:rPr>
                <w:rFonts w:hint="eastAsia" w:asciiTheme="minorEastAsia" w:hAnsiTheme="minorEastAsia"/>
                <w:sz w:val="24"/>
              </w:rPr>
            </w:pPr>
          </w:p>
        </w:tc>
      </w:tr>
      <w:tr w14:paraId="12BC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252BF45A">
            <w:pPr>
              <w:widowControl/>
              <w:spacing w:line="360" w:lineRule="auto"/>
              <w:jc w:val="center"/>
              <w:rPr>
                <w:rFonts w:hint="eastAsia" w:cs="宋体" w:asciiTheme="minorEastAsia" w:hAnsiTheme="minorEastAsia"/>
                <w:kern w:val="0"/>
                <w:sz w:val="24"/>
                <w:szCs w:val="18"/>
              </w:rPr>
            </w:pPr>
            <w:r>
              <w:rPr>
                <w:rFonts w:hint="eastAsia" w:cs="宋体" w:asciiTheme="minorEastAsia" w:hAnsiTheme="minorEastAsia"/>
                <w:kern w:val="0"/>
                <w:sz w:val="24"/>
              </w:rPr>
              <w:t>合同</w:t>
            </w:r>
            <w:r>
              <w:rPr>
                <w:rFonts w:cs="宋体" w:asciiTheme="minorEastAsia" w:hAnsiTheme="minorEastAsia"/>
                <w:kern w:val="0"/>
                <w:sz w:val="24"/>
              </w:rPr>
              <w:t>2</w:t>
            </w:r>
          </w:p>
        </w:tc>
        <w:tc>
          <w:tcPr>
            <w:tcW w:w="757" w:type="pct"/>
            <w:vAlign w:val="center"/>
          </w:tcPr>
          <w:p w14:paraId="2249E87B">
            <w:pPr>
              <w:spacing w:line="360" w:lineRule="auto"/>
              <w:ind w:firstLine="480"/>
              <w:jc w:val="center"/>
              <w:rPr>
                <w:rFonts w:hint="eastAsia" w:asciiTheme="minorEastAsia" w:hAnsiTheme="minorEastAsia"/>
                <w:sz w:val="24"/>
              </w:rPr>
            </w:pPr>
          </w:p>
        </w:tc>
        <w:tc>
          <w:tcPr>
            <w:tcW w:w="756" w:type="pct"/>
            <w:vAlign w:val="center"/>
          </w:tcPr>
          <w:p w14:paraId="08686A9D">
            <w:pPr>
              <w:spacing w:line="360" w:lineRule="auto"/>
              <w:ind w:firstLine="480"/>
              <w:jc w:val="center"/>
              <w:rPr>
                <w:rFonts w:hint="eastAsia" w:asciiTheme="minorEastAsia" w:hAnsiTheme="minorEastAsia"/>
                <w:sz w:val="24"/>
              </w:rPr>
            </w:pPr>
          </w:p>
        </w:tc>
        <w:tc>
          <w:tcPr>
            <w:tcW w:w="1014" w:type="pct"/>
            <w:vAlign w:val="center"/>
          </w:tcPr>
          <w:p w14:paraId="28CEB7CB">
            <w:pPr>
              <w:spacing w:line="360" w:lineRule="auto"/>
              <w:ind w:firstLine="480"/>
              <w:jc w:val="center"/>
              <w:rPr>
                <w:rFonts w:hint="eastAsia" w:asciiTheme="minorEastAsia" w:hAnsiTheme="minorEastAsia"/>
                <w:sz w:val="24"/>
              </w:rPr>
            </w:pPr>
          </w:p>
        </w:tc>
        <w:tc>
          <w:tcPr>
            <w:tcW w:w="1424" w:type="pct"/>
          </w:tcPr>
          <w:p w14:paraId="1D6DA769">
            <w:pPr>
              <w:spacing w:line="360" w:lineRule="auto"/>
              <w:ind w:firstLine="480"/>
              <w:jc w:val="center"/>
              <w:rPr>
                <w:rFonts w:hint="eastAsia" w:asciiTheme="minorEastAsia" w:hAnsiTheme="minorEastAsia"/>
                <w:sz w:val="24"/>
              </w:rPr>
            </w:pPr>
          </w:p>
        </w:tc>
      </w:tr>
      <w:tr w14:paraId="6ECC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59AE8562">
            <w:pPr>
              <w:spacing w:line="360" w:lineRule="auto"/>
              <w:jc w:val="center"/>
              <w:rPr>
                <w:rFonts w:hint="eastAsia" w:cs="宋体" w:asciiTheme="minorEastAsia" w:hAnsiTheme="minorEastAsia"/>
                <w:kern w:val="0"/>
                <w:sz w:val="24"/>
                <w:szCs w:val="18"/>
              </w:rPr>
            </w:pPr>
            <w:r>
              <w:rPr>
                <w:rFonts w:hint="eastAsia" w:cs="宋体" w:asciiTheme="minorEastAsia" w:hAnsiTheme="minorEastAsia"/>
                <w:kern w:val="0"/>
                <w:sz w:val="24"/>
              </w:rPr>
              <w:t>合同</w:t>
            </w:r>
            <w:r>
              <w:rPr>
                <w:rFonts w:cs="宋体" w:asciiTheme="minorEastAsia" w:hAnsiTheme="minorEastAsia"/>
                <w:kern w:val="0"/>
                <w:sz w:val="24"/>
              </w:rPr>
              <w:t>3</w:t>
            </w:r>
          </w:p>
        </w:tc>
        <w:tc>
          <w:tcPr>
            <w:tcW w:w="757" w:type="pct"/>
            <w:vAlign w:val="center"/>
          </w:tcPr>
          <w:p w14:paraId="173FEA67">
            <w:pPr>
              <w:spacing w:line="360" w:lineRule="auto"/>
              <w:ind w:firstLine="480"/>
              <w:jc w:val="center"/>
              <w:rPr>
                <w:rFonts w:hint="eastAsia" w:asciiTheme="minorEastAsia" w:hAnsiTheme="minorEastAsia"/>
                <w:sz w:val="24"/>
              </w:rPr>
            </w:pPr>
          </w:p>
        </w:tc>
        <w:tc>
          <w:tcPr>
            <w:tcW w:w="756" w:type="pct"/>
            <w:vAlign w:val="center"/>
          </w:tcPr>
          <w:p w14:paraId="0A10372E">
            <w:pPr>
              <w:spacing w:line="360" w:lineRule="auto"/>
              <w:ind w:firstLine="480"/>
              <w:jc w:val="center"/>
              <w:rPr>
                <w:rFonts w:hint="eastAsia" w:asciiTheme="minorEastAsia" w:hAnsiTheme="minorEastAsia"/>
                <w:sz w:val="24"/>
              </w:rPr>
            </w:pPr>
          </w:p>
        </w:tc>
        <w:tc>
          <w:tcPr>
            <w:tcW w:w="1014" w:type="pct"/>
            <w:vAlign w:val="center"/>
          </w:tcPr>
          <w:p w14:paraId="2B21974F">
            <w:pPr>
              <w:spacing w:line="360" w:lineRule="auto"/>
              <w:ind w:firstLine="480"/>
              <w:jc w:val="center"/>
              <w:rPr>
                <w:rFonts w:hint="eastAsia" w:asciiTheme="minorEastAsia" w:hAnsiTheme="minorEastAsia"/>
                <w:sz w:val="24"/>
              </w:rPr>
            </w:pPr>
          </w:p>
        </w:tc>
        <w:tc>
          <w:tcPr>
            <w:tcW w:w="1424" w:type="pct"/>
          </w:tcPr>
          <w:p w14:paraId="42B682FF">
            <w:pPr>
              <w:spacing w:line="360" w:lineRule="auto"/>
              <w:ind w:firstLine="480"/>
              <w:jc w:val="center"/>
              <w:rPr>
                <w:rFonts w:hint="eastAsia" w:asciiTheme="minorEastAsia" w:hAnsiTheme="minorEastAsia"/>
                <w:sz w:val="24"/>
              </w:rPr>
            </w:pPr>
          </w:p>
        </w:tc>
      </w:tr>
      <w:tr w14:paraId="209F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2EC7D6B1">
            <w:pPr>
              <w:spacing w:line="360" w:lineRule="auto"/>
              <w:jc w:val="center"/>
              <w:rPr>
                <w:rFonts w:hint="eastAsia" w:cs="宋体" w:asciiTheme="minorEastAsia" w:hAnsiTheme="minorEastAsia"/>
                <w:kern w:val="0"/>
                <w:sz w:val="24"/>
                <w:szCs w:val="18"/>
              </w:rPr>
            </w:pPr>
            <w:r>
              <w:rPr>
                <w:rFonts w:hint="eastAsia" w:cs="宋体" w:asciiTheme="minorEastAsia" w:hAnsiTheme="minorEastAsia"/>
                <w:kern w:val="0"/>
                <w:sz w:val="24"/>
              </w:rPr>
              <w:t>合同</w:t>
            </w:r>
            <w:r>
              <w:rPr>
                <w:rFonts w:cs="宋体" w:asciiTheme="minorEastAsia" w:hAnsiTheme="minorEastAsia"/>
                <w:kern w:val="0"/>
                <w:sz w:val="24"/>
              </w:rPr>
              <w:t>4</w:t>
            </w:r>
          </w:p>
        </w:tc>
        <w:tc>
          <w:tcPr>
            <w:tcW w:w="757" w:type="pct"/>
            <w:vAlign w:val="center"/>
          </w:tcPr>
          <w:p w14:paraId="43840E41">
            <w:pPr>
              <w:spacing w:line="360" w:lineRule="auto"/>
              <w:ind w:firstLine="480"/>
              <w:jc w:val="center"/>
              <w:rPr>
                <w:rFonts w:hint="eastAsia" w:asciiTheme="minorEastAsia" w:hAnsiTheme="minorEastAsia"/>
                <w:sz w:val="24"/>
              </w:rPr>
            </w:pPr>
          </w:p>
        </w:tc>
        <w:tc>
          <w:tcPr>
            <w:tcW w:w="756" w:type="pct"/>
            <w:vAlign w:val="center"/>
          </w:tcPr>
          <w:p w14:paraId="3C23B82B">
            <w:pPr>
              <w:spacing w:line="360" w:lineRule="auto"/>
              <w:ind w:firstLine="480"/>
              <w:jc w:val="center"/>
              <w:rPr>
                <w:rFonts w:hint="eastAsia" w:asciiTheme="minorEastAsia" w:hAnsiTheme="minorEastAsia"/>
                <w:sz w:val="24"/>
              </w:rPr>
            </w:pPr>
          </w:p>
        </w:tc>
        <w:tc>
          <w:tcPr>
            <w:tcW w:w="1014" w:type="pct"/>
            <w:vAlign w:val="center"/>
          </w:tcPr>
          <w:p w14:paraId="415D1A52">
            <w:pPr>
              <w:spacing w:line="360" w:lineRule="auto"/>
              <w:ind w:firstLine="480"/>
              <w:jc w:val="center"/>
              <w:rPr>
                <w:rFonts w:hint="eastAsia" w:asciiTheme="minorEastAsia" w:hAnsiTheme="minorEastAsia"/>
                <w:sz w:val="24"/>
              </w:rPr>
            </w:pPr>
          </w:p>
        </w:tc>
        <w:tc>
          <w:tcPr>
            <w:tcW w:w="1424" w:type="pct"/>
          </w:tcPr>
          <w:p w14:paraId="2BC78751">
            <w:pPr>
              <w:spacing w:line="360" w:lineRule="auto"/>
              <w:ind w:firstLine="480"/>
              <w:jc w:val="center"/>
              <w:rPr>
                <w:rFonts w:hint="eastAsia" w:asciiTheme="minorEastAsia" w:hAnsiTheme="minorEastAsia"/>
                <w:sz w:val="24"/>
              </w:rPr>
            </w:pPr>
          </w:p>
        </w:tc>
      </w:tr>
      <w:tr w14:paraId="214A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1096E42C">
            <w:pPr>
              <w:spacing w:line="360" w:lineRule="auto"/>
              <w:jc w:val="center"/>
              <w:rPr>
                <w:rFonts w:hint="eastAsia" w:cs="宋体" w:asciiTheme="minorEastAsia" w:hAnsiTheme="minorEastAsia"/>
                <w:kern w:val="0"/>
                <w:sz w:val="24"/>
                <w:szCs w:val="18"/>
              </w:rPr>
            </w:pPr>
            <w:r>
              <w:rPr>
                <w:rFonts w:hint="eastAsia" w:cs="宋体" w:asciiTheme="minorEastAsia" w:hAnsiTheme="minorEastAsia"/>
                <w:kern w:val="0"/>
                <w:sz w:val="24"/>
              </w:rPr>
              <w:t>合同</w:t>
            </w:r>
            <w:r>
              <w:rPr>
                <w:rFonts w:cs="宋体" w:asciiTheme="minorEastAsia" w:hAnsiTheme="minorEastAsia"/>
                <w:kern w:val="0"/>
                <w:sz w:val="24"/>
              </w:rPr>
              <w:t>5</w:t>
            </w:r>
          </w:p>
        </w:tc>
        <w:tc>
          <w:tcPr>
            <w:tcW w:w="757" w:type="pct"/>
            <w:vAlign w:val="center"/>
          </w:tcPr>
          <w:p w14:paraId="07BC1905">
            <w:pPr>
              <w:spacing w:line="360" w:lineRule="auto"/>
              <w:ind w:firstLine="480"/>
              <w:jc w:val="center"/>
              <w:rPr>
                <w:rFonts w:hint="eastAsia" w:asciiTheme="minorEastAsia" w:hAnsiTheme="minorEastAsia"/>
                <w:sz w:val="24"/>
              </w:rPr>
            </w:pPr>
          </w:p>
        </w:tc>
        <w:tc>
          <w:tcPr>
            <w:tcW w:w="756" w:type="pct"/>
            <w:vAlign w:val="center"/>
          </w:tcPr>
          <w:p w14:paraId="56188EA9">
            <w:pPr>
              <w:spacing w:line="360" w:lineRule="auto"/>
              <w:ind w:firstLine="480"/>
              <w:jc w:val="center"/>
              <w:rPr>
                <w:rFonts w:hint="eastAsia" w:asciiTheme="minorEastAsia" w:hAnsiTheme="minorEastAsia"/>
                <w:sz w:val="24"/>
              </w:rPr>
            </w:pPr>
          </w:p>
        </w:tc>
        <w:tc>
          <w:tcPr>
            <w:tcW w:w="1014" w:type="pct"/>
            <w:vAlign w:val="center"/>
          </w:tcPr>
          <w:p w14:paraId="0725CBEE">
            <w:pPr>
              <w:spacing w:line="360" w:lineRule="auto"/>
              <w:ind w:firstLine="480"/>
              <w:jc w:val="center"/>
              <w:rPr>
                <w:rFonts w:hint="eastAsia" w:asciiTheme="minorEastAsia" w:hAnsiTheme="minorEastAsia"/>
                <w:sz w:val="24"/>
              </w:rPr>
            </w:pPr>
          </w:p>
        </w:tc>
        <w:tc>
          <w:tcPr>
            <w:tcW w:w="1424" w:type="pct"/>
          </w:tcPr>
          <w:p w14:paraId="500D1777">
            <w:pPr>
              <w:spacing w:line="360" w:lineRule="auto"/>
              <w:ind w:firstLine="480"/>
              <w:jc w:val="center"/>
              <w:rPr>
                <w:rFonts w:hint="eastAsia" w:asciiTheme="minorEastAsia" w:hAnsiTheme="minorEastAsia"/>
                <w:sz w:val="24"/>
              </w:rPr>
            </w:pPr>
          </w:p>
        </w:tc>
      </w:tr>
      <w:tr w14:paraId="777C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049" w:type="pct"/>
            <w:vAlign w:val="center"/>
          </w:tcPr>
          <w:p w14:paraId="3379434B">
            <w:pPr>
              <w:widowControl/>
              <w:spacing w:line="360" w:lineRule="auto"/>
              <w:ind w:left="1050" w:firstLine="480"/>
              <w:jc w:val="center"/>
              <w:rPr>
                <w:rFonts w:hint="eastAsia" w:cs="宋体" w:asciiTheme="minorEastAsia" w:hAnsiTheme="minorEastAsia"/>
                <w:kern w:val="0"/>
                <w:sz w:val="24"/>
                <w:szCs w:val="18"/>
              </w:rPr>
            </w:pPr>
            <w:r>
              <w:rPr>
                <w:rFonts w:hint="eastAsia" w:cs="宋体" w:asciiTheme="minorEastAsia" w:hAnsiTheme="minorEastAsia"/>
                <w:kern w:val="0"/>
                <w:sz w:val="24"/>
              </w:rPr>
              <w:t>…</w:t>
            </w:r>
          </w:p>
        </w:tc>
        <w:tc>
          <w:tcPr>
            <w:tcW w:w="757" w:type="pct"/>
            <w:vAlign w:val="center"/>
          </w:tcPr>
          <w:p w14:paraId="4E176D7C">
            <w:pPr>
              <w:spacing w:line="360" w:lineRule="auto"/>
              <w:ind w:firstLine="480"/>
              <w:jc w:val="center"/>
              <w:rPr>
                <w:rFonts w:hint="eastAsia" w:asciiTheme="minorEastAsia" w:hAnsiTheme="minorEastAsia"/>
                <w:sz w:val="24"/>
              </w:rPr>
            </w:pPr>
          </w:p>
        </w:tc>
        <w:tc>
          <w:tcPr>
            <w:tcW w:w="756" w:type="pct"/>
            <w:vAlign w:val="center"/>
          </w:tcPr>
          <w:p w14:paraId="73D014B2">
            <w:pPr>
              <w:spacing w:line="360" w:lineRule="auto"/>
              <w:ind w:firstLine="480"/>
              <w:jc w:val="center"/>
              <w:rPr>
                <w:rFonts w:hint="eastAsia" w:asciiTheme="minorEastAsia" w:hAnsiTheme="minorEastAsia"/>
                <w:sz w:val="24"/>
              </w:rPr>
            </w:pPr>
          </w:p>
        </w:tc>
        <w:tc>
          <w:tcPr>
            <w:tcW w:w="1014" w:type="pct"/>
            <w:vAlign w:val="center"/>
          </w:tcPr>
          <w:p w14:paraId="10B6EB06">
            <w:pPr>
              <w:spacing w:line="360" w:lineRule="auto"/>
              <w:ind w:firstLine="480"/>
              <w:jc w:val="center"/>
              <w:rPr>
                <w:rFonts w:hint="eastAsia" w:asciiTheme="minorEastAsia" w:hAnsiTheme="minorEastAsia"/>
                <w:sz w:val="24"/>
              </w:rPr>
            </w:pPr>
          </w:p>
        </w:tc>
        <w:tc>
          <w:tcPr>
            <w:tcW w:w="1424" w:type="pct"/>
          </w:tcPr>
          <w:p w14:paraId="5463107B">
            <w:pPr>
              <w:spacing w:line="360" w:lineRule="auto"/>
              <w:ind w:firstLine="480"/>
              <w:jc w:val="center"/>
              <w:rPr>
                <w:rFonts w:hint="eastAsia" w:asciiTheme="minorEastAsia" w:hAnsiTheme="minorEastAsia"/>
                <w:sz w:val="24"/>
              </w:rPr>
            </w:pPr>
          </w:p>
        </w:tc>
      </w:tr>
    </w:tbl>
    <w:p w14:paraId="71ED5A02">
      <w:pPr>
        <w:autoSpaceDE w:val="0"/>
        <w:autoSpaceDN w:val="0"/>
        <w:adjustRightInd w:val="0"/>
        <w:spacing w:line="360" w:lineRule="auto"/>
        <w:ind w:firstLine="480"/>
        <w:rPr>
          <w:rFonts w:hint="eastAsia" w:asciiTheme="minorEastAsia" w:hAnsiTheme="minorEastAsia"/>
          <w:bCs/>
          <w:sz w:val="24"/>
          <w:szCs w:val="24"/>
        </w:rPr>
      </w:pPr>
      <w:r>
        <w:rPr>
          <w:rFonts w:hint="eastAsia" w:asciiTheme="minorEastAsia" w:hAnsiTheme="minorEastAsia"/>
          <w:bCs/>
          <w:sz w:val="24"/>
          <w:szCs w:val="24"/>
        </w:rPr>
        <w:t>注：</w:t>
      </w:r>
    </w:p>
    <w:p w14:paraId="39A2F770">
      <w:pPr>
        <w:autoSpaceDE w:val="0"/>
        <w:autoSpaceDN w:val="0"/>
        <w:adjustRightInd w:val="0"/>
        <w:spacing w:line="360" w:lineRule="auto"/>
        <w:rPr>
          <w:rFonts w:hint="eastAsia" w:asciiTheme="minorEastAsia" w:hAnsiTheme="minorEastAsia"/>
          <w:bCs/>
          <w:sz w:val="24"/>
          <w:szCs w:val="24"/>
        </w:rPr>
      </w:pPr>
      <w:r>
        <w:rPr>
          <w:rFonts w:asciiTheme="minorEastAsia" w:hAnsiTheme="minorEastAsia"/>
          <w:bCs/>
          <w:sz w:val="24"/>
          <w:szCs w:val="24"/>
        </w:rPr>
        <w:t>1、投标人提供的类似产品制造或销售项目业绩，可采用合同、订单、验收资料、产品出厂或交付证明等材料作为证明文件，复印件须内容清晰并加盖公章；合同类材料至少包含合同双方、项目内容、签订时间等信息，项目时间须为近3年。投标人须按本表编号顺序装订提交，未提供符合条件证明材料的业绩在内部议标时不予认可。</w:t>
      </w:r>
    </w:p>
    <w:p w14:paraId="3BFB4F24">
      <w:pPr>
        <w:autoSpaceDE w:val="0"/>
        <w:autoSpaceDN w:val="0"/>
        <w:adjustRightInd w:val="0"/>
        <w:spacing w:line="360" w:lineRule="auto"/>
        <w:rPr>
          <w:rFonts w:hint="eastAsia" w:asciiTheme="minorEastAsia" w:hAnsiTheme="minorEastAsia"/>
          <w:bCs/>
          <w:sz w:val="24"/>
          <w:szCs w:val="24"/>
        </w:rPr>
      </w:pPr>
      <w:r>
        <w:rPr>
          <w:rFonts w:asciiTheme="minorEastAsia" w:hAnsiTheme="minorEastAsia"/>
          <w:bCs/>
          <w:sz w:val="24"/>
          <w:szCs w:val="24"/>
        </w:rPr>
        <w:t>2</w:t>
      </w:r>
      <w:r>
        <w:rPr>
          <w:rFonts w:hint="eastAsia" w:asciiTheme="minorEastAsia" w:hAnsiTheme="minorEastAsia"/>
          <w:bCs/>
          <w:sz w:val="24"/>
          <w:szCs w:val="24"/>
        </w:rPr>
        <w:t>、投标人业绩及证明文件应如实提供，如有虚假将导致其申请被拒绝。</w:t>
      </w:r>
    </w:p>
    <w:p w14:paraId="3317EE8C">
      <w:pPr>
        <w:tabs>
          <w:tab w:val="left" w:pos="5580"/>
        </w:tabs>
        <w:spacing w:line="360" w:lineRule="auto"/>
        <w:rPr>
          <w:rFonts w:hint="eastAsia" w:asciiTheme="minorEastAsia" w:hAnsiTheme="minorEastAsia"/>
          <w:sz w:val="24"/>
        </w:rPr>
      </w:pPr>
      <w:r>
        <w:rPr>
          <w:rFonts w:asciiTheme="minorEastAsia" w:hAnsiTheme="minorEastAsia"/>
          <w:bCs/>
          <w:sz w:val="24"/>
          <w:szCs w:val="24"/>
        </w:rPr>
        <w:t>3</w:t>
      </w:r>
      <w:r>
        <w:rPr>
          <w:rFonts w:hint="eastAsia" w:asciiTheme="minorEastAsia" w:hAnsiTheme="minorEastAsia"/>
          <w:bCs/>
          <w:sz w:val="24"/>
          <w:szCs w:val="24"/>
        </w:rPr>
        <w:t>、</w:t>
      </w:r>
      <w:r>
        <w:rPr>
          <w:rFonts w:hint="eastAsia" w:asciiTheme="minorEastAsia" w:hAnsiTheme="minorEastAsia"/>
          <w:sz w:val="24"/>
        </w:rPr>
        <w:t>其他能够证明投标人工作业绩的证明文件。</w:t>
      </w:r>
    </w:p>
    <w:p w14:paraId="38273BDD">
      <w:pPr>
        <w:spacing w:line="360" w:lineRule="auto"/>
        <w:ind w:right="357"/>
        <w:rPr>
          <w:rFonts w:hint="eastAsia" w:asciiTheme="minorEastAsia" w:hAnsiTheme="minorEastAsia"/>
          <w:szCs w:val="21"/>
        </w:rPr>
      </w:pPr>
    </w:p>
    <w:p w14:paraId="5430604E">
      <w:pPr>
        <w:spacing w:line="360" w:lineRule="auto"/>
        <w:ind w:firstLine="4560" w:firstLineChars="1900"/>
        <w:rPr>
          <w:rFonts w:hint="eastAsia" w:asciiTheme="minorEastAsia" w:hAnsiTheme="minorEastAsia"/>
          <w:sz w:val="24"/>
        </w:rPr>
      </w:pPr>
      <w:r>
        <w:rPr>
          <w:rFonts w:hint="eastAsia" w:asciiTheme="minorEastAsia" w:hAnsiTheme="minorEastAsia"/>
          <w:sz w:val="24"/>
        </w:rPr>
        <w:t>投标人名称（加盖公章）：</w:t>
      </w:r>
    </w:p>
    <w:p w14:paraId="5EEB7410">
      <w:pPr>
        <w:spacing w:line="360" w:lineRule="auto"/>
        <w:ind w:firstLine="4516" w:firstLineChars="1882"/>
        <w:rPr>
          <w:rFonts w:hint="eastAsia" w:asciiTheme="minorEastAsia" w:hAnsiTheme="minorEastAsia"/>
          <w:sz w:val="24"/>
          <w:u w:val="single"/>
        </w:rPr>
      </w:pPr>
      <w:r>
        <w:rPr>
          <w:rFonts w:hint="eastAsia" w:asciiTheme="minorEastAsia" w:hAnsiTheme="minorEastAsia"/>
          <w:sz w:val="24"/>
        </w:rPr>
        <w:t>法定代表人</w:t>
      </w:r>
      <w:r>
        <w:rPr>
          <w:rFonts w:asciiTheme="minorEastAsia" w:hAnsiTheme="minorEastAsia"/>
          <w:sz w:val="24"/>
        </w:rPr>
        <w:t>/授权代表（签字）：</w:t>
      </w:r>
    </w:p>
    <w:p w14:paraId="09D080F4">
      <w:pPr>
        <w:spacing w:line="360" w:lineRule="auto"/>
        <w:ind w:firstLine="5040" w:firstLineChars="2100"/>
        <w:rPr>
          <w:rFonts w:hint="eastAsia" w:asciiTheme="minorEastAsia" w:hAnsiTheme="minorEastAsia"/>
          <w:sz w:val="24"/>
        </w:rPr>
      </w:pPr>
      <w:r>
        <w:rPr>
          <w:rFonts w:hint="eastAsia" w:asciiTheme="minorEastAsia" w:hAnsiTheme="minorEastAsia"/>
          <w:sz w:val="24"/>
        </w:rPr>
        <w:t>日期：年月日</w:t>
      </w:r>
    </w:p>
    <w:p w14:paraId="1EEFBCC7">
      <w:pPr>
        <w:spacing w:line="360" w:lineRule="auto"/>
        <w:jc w:val="left"/>
        <w:rPr>
          <w:rFonts w:hint="eastAsia" w:asciiTheme="minorEastAsia" w:hAnsiTheme="minorEastAsia"/>
          <w:sz w:val="24"/>
        </w:rPr>
        <w:sectPr>
          <w:pgSz w:w="11906" w:h="16838"/>
          <w:pgMar w:top="1440" w:right="1418" w:bottom="1440" w:left="1418" w:header="851" w:footer="992" w:gutter="0"/>
          <w:cols w:space="425" w:num="1"/>
          <w:docGrid w:type="lines" w:linePitch="312" w:charSpace="0"/>
        </w:sectPr>
      </w:pPr>
    </w:p>
    <w:p w14:paraId="6E29D13E">
      <w:pPr>
        <w:pStyle w:val="3"/>
        <w:spacing w:line="360" w:lineRule="auto"/>
        <w:rPr>
          <w:rFonts w:hint="eastAsia" w:asciiTheme="minorEastAsia" w:hAnsiTheme="minorEastAsia" w:eastAsiaTheme="minorEastAsia"/>
          <w:lang w:eastAsia="zh-CN"/>
        </w:rPr>
      </w:pPr>
      <w:r>
        <w:rPr>
          <w:rFonts w:hint="eastAsia" w:asciiTheme="minorEastAsia" w:hAnsiTheme="minorEastAsia" w:eastAsiaTheme="minorEastAsia"/>
          <w:lang w:eastAsia="zh-CN"/>
        </w:rPr>
        <w:t>第五章技术要求</w:t>
      </w:r>
    </w:p>
    <w:p w14:paraId="554D2524">
      <w:pPr>
        <w:spacing w:line="360" w:lineRule="auto"/>
        <w:jc w:val="left"/>
        <w:rPr>
          <w:rFonts w:hint="eastAsia" w:asciiTheme="minorEastAsia" w:hAnsiTheme="minorEastAsia"/>
          <w:sz w:val="24"/>
        </w:rPr>
      </w:pPr>
      <w:bookmarkStart w:id="131" w:name="_Toc509913799"/>
      <w:bookmarkEnd w:id="131"/>
    </w:p>
    <w:p w14:paraId="0B96CC65">
      <w:pPr>
        <w:spacing w:line="360" w:lineRule="auto"/>
        <w:jc w:val="left"/>
        <w:rPr>
          <w:rFonts w:ascii="Times New Roman" w:hAnsi="Times New Roman"/>
          <w:color w:val="000000" w:themeColor="text1"/>
          <w:sz w:val="24"/>
          <w14:textFill>
            <w14:solidFill>
              <w14:schemeClr w14:val="tx1"/>
            </w14:solidFill>
          </w14:textFill>
        </w:rPr>
      </w:pPr>
    </w:p>
    <w:p w14:paraId="332BEAE6">
      <w:pPr>
        <w:spacing w:line="360" w:lineRule="auto"/>
        <w:jc w:val="left"/>
        <w:rPr>
          <w:rFonts w:ascii="Times New Roman" w:hAnsi="Times New Roman"/>
          <w:color w:val="000000" w:themeColor="text1"/>
          <w:sz w:val="24"/>
          <w14:textFill>
            <w14:solidFill>
              <w14:schemeClr w14:val="tx1"/>
            </w14:solidFill>
          </w14:textFill>
        </w:rPr>
      </w:pPr>
    </w:p>
    <w:p w14:paraId="36DF59D7">
      <w:pPr>
        <w:spacing w:line="360" w:lineRule="auto"/>
        <w:jc w:val="left"/>
        <w:rPr>
          <w:rFonts w:ascii="Times New Roman" w:hAnsi="Times New Roman"/>
          <w:color w:val="000000" w:themeColor="text1"/>
          <w:sz w:val="24"/>
          <w14:textFill>
            <w14:solidFill>
              <w14:schemeClr w14:val="tx1"/>
            </w14:solidFill>
          </w14:textFill>
        </w:rPr>
      </w:pPr>
    </w:p>
    <w:p w14:paraId="3186503E">
      <w:pPr>
        <w:spacing w:line="360" w:lineRule="auto"/>
        <w:jc w:val="left"/>
        <w:rPr>
          <w:rFonts w:ascii="Times New Roman" w:hAnsi="Times New Roman"/>
          <w:color w:val="000000" w:themeColor="text1"/>
          <w:sz w:val="24"/>
          <w14:textFill>
            <w14:solidFill>
              <w14:schemeClr w14:val="tx1"/>
            </w14:solidFill>
          </w14:textFill>
        </w:rPr>
      </w:pPr>
    </w:p>
    <w:p w14:paraId="08C12AC6">
      <w:pPr>
        <w:spacing w:line="360" w:lineRule="auto"/>
        <w:jc w:val="left"/>
        <w:rPr>
          <w:rFonts w:ascii="Times New Roman" w:hAnsi="Times New Roman"/>
          <w:color w:val="000000" w:themeColor="text1"/>
          <w:sz w:val="24"/>
          <w14:textFill>
            <w14:solidFill>
              <w14:schemeClr w14:val="tx1"/>
            </w14:solidFill>
          </w14:textFill>
        </w:rPr>
      </w:pPr>
    </w:p>
    <w:p w14:paraId="7592B602">
      <w:pPr>
        <w:spacing w:line="360" w:lineRule="auto"/>
        <w:jc w:val="left"/>
        <w:rPr>
          <w:rFonts w:ascii="Times New Roman" w:hAnsi="Times New Roman"/>
          <w:color w:val="000000" w:themeColor="text1"/>
          <w:sz w:val="24"/>
          <w14:textFill>
            <w14:solidFill>
              <w14:schemeClr w14:val="tx1"/>
            </w14:solidFill>
          </w14:textFill>
        </w:rPr>
      </w:pPr>
    </w:p>
    <w:p w14:paraId="185D60E4">
      <w:pPr>
        <w:widowControl/>
        <w:adjustRightInd w:val="0"/>
        <w:snapToGrid w:val="0"/>
        <w:spacing w:line="360" w:lineRule="auto"/>
        <w:jc w:val="center"/>
        <w:rPr>
          <w:rFonts w:hint="eastAsia" w:hAnsi="宋体" w:cs="Arial"/>
          <w:b/>
          <w:sz w:val="36"/>
          <w:szCs w:val="36"/>
        </w:rPr>
      </w:pPr>
      <w:r>
        <w:rPr>
          <w:rFonts w:hint="eastAsia" w:hAnsi="宋体" w:cs="Arial"/>
          <w:b/>
          <w:sz w:val="36"/>
          <w:szCs w:val="36"/>
        </w:rPr>
        <w:t>国联汽车动力电池研究院有限责任公司</w:t>
      </w:r>
    </w:p>
    <w:p w14:paraId="515ACF89">
      <w:pPr>
        <w:widowControl/>
        <w:adjustRightInd w:val="0"/>
        <w:snapToGrid w:val="0"/>
        <w:spacing w:line="360" w:lineRule="auto"/>
        <w:jc w:val="center"/>
        <w:rPr>
          <w:rFonts w:hint="default" w:hAnsi="宋体" w:cs="Arial"/>
          <w:b/>
          <w:sz w:val="36"/>
          <w:szCs w:val="36"/>
          <w:lang w:val="en-US"/>
        </w:rPr>
      </w:pPr>
      <w:r>
        <w:rPr>
          <w:rFonts w:hint="eastAsia" w:hAnsi="宋体" w:cs="Arial"/>
          <w:b/>
          <w:sz w:val="36"/>
          <w:szCs w:val="36"/>
        </w:rPr>
        <w:t>国家动力电池创新中心强化创新能力建设“两重”建设项目-</w:t>
      </w:r>
      <w:r>
        <w:rPr>
          <w:rFonts w:hint="eastAsia" w:hAnsi="宋体" w:cs="Arial"/>
          <w:b/>
          <w:sz w:val="36"/>
          <w:szCs w:val="36"/>
          <w:lang w:val="en-US" w:eastAsia="zh-CN"/>
        </w:rPr>
        <w:t>密闭干燥温度控制系统</w:t>
      </w:r>
    </w:p>
    <w:p w14:paraId="23D8AA44">
      <w:pPr>
        <w:widowControl/>
        <w:adjustRightInd w:val="0"/>
        <w:snapToGrid w:val="0"/>
        <w:spacing w:line="360" w:lineRule="auto"/>
        <w:jc w:val="center"/>
        <w:rPr>
          <w:rFonts w:hint="eastAsia" w:hAnsi="宋体" w:cs="Arial"/>
          <w:b/>
          <w:sz w:val="36"/>
          <w:szCs w:val="36"/>
        </w:rPr>
      </w:pPr>
      <w:r>
        <w:rPr>
          <w:rFonts w:hint="eastAsia" w:hAnsi="宋体" w:cs="Arial"/>
          <w:b/>
          <w:sz w:val="36"/>
          <w:szCs w:val="36"/>
        </w:rPr>
        <w:t>技术需求书</w:t>
      </w:r>
    </w:p>
    <w:p w14:paraId="4A08B0F8">
      <w:pPr>
        <w:widowControl/>
        <w:adjustRightInd w:val="0"/>
        <w:snapToGrid w:val="0"/>
        <w:spacing w:line="360" w:lineRule="auto"/>
        <w:jc w:val="center"/>
        <w:rPr>
          <w:rFonts w:hint="eastAsia" w:hAnsi="宋体" w:cs="Arial"/>
          <w:b/>
          <w:sz w:val="36"/>
          <w:szCs w:val="36"/>
        </w:rPr>
      </w:pPr>
    </w:p>
    <w:p w14:paraId="4A79F1C2">
      <w:pPr>
        <w:widowControl/>
        <w:adjustRightInd w:val="0"/>
        <w:snapToGrid w:val="0"/>
        <w:spacing w:line="360" w:lineRule="auto"/>
        <w:jc w:val="center"/>
        <w:rPr>
          <w:rFonts w:hint="eastAsia" w:hAnsi="宋体" w:cs="Arial"/>
          <w:b/>
          <w:sz w:val="36"/>
          <w:szCs w:val="36"/>
        </w:rPr>
      </w:pPr>
    </w:p>
    <w:p w14:paraId="433C8D3F">
      <w:pPr>
        <w:widowControl/>
        <w:adjustRightInd w:val="0"/>
        <w:snapToGrid w:val="0"/>
        <w:spacing w:line="360" w:lineRule="auto"/>
        <w:jc w:val="center"/>
        <w:rPr>
          <w:rFonts w:hint="eastAsia" w:hAnsi="宋体" w:cs="Arial"/>
          <w:b/>
          <w:sz w:val="36"/>
          <w:szCs w:val="36"/>
        </w:rPr>
      </w:pPr>
    </w:p>
    <w:p w14:paraId="050387B3">
      <w:pPr>
        <w:widowControl/>
        <w:adjustRightInd w:val="0"/>
        <w:snapToGrid w:val="0"/>
        <w:spacing w:line="360" w:lineRule="auto"/>
        <w:jc w:val="center"/>
        <w:rPr>
          <w:rFonts w:hint="eastAsia" w:hAnsi="宋体" w:cs="Arial"/>
          <w:b/>
          <w:sz w:val="36"/>
          <w:szCs w:val="36"/>
        </w:rPr>
      </w:pPr>
    </w:p>
    <w:p w14:paraId="7379A163">
      <w:pPr>
        <w:widowControl/>
        <w:adjustRightInd w:val="0"/>
        <w:snapToGrid w:val="0"/>
        <w:spacing w:line="360" w:lineRule="auto"/>
        <w:jc w:val="center"/>
        <w:rPr>
          <w:rFonts w:hint="eastAsia" w:hAnsi="宋体" w:cs="Arial"/>
          <w:b/>
          <w:sz w:val="36"/>
          <w:szCs w:val="36"/>
        </w:rPr>
      </w:pPr>
    </w:p>
    <w:p w14:paraId="1C31381F">
      <w:pPr>
        <w:widowControl/>
        <w:adjustRightInd w:val="0"/>
        <w:snapToGrid w:val="0"/>
        <w:spacing w:line="360" w:lineRule="auto"/>
        <w:jc w:val="center"/>
        <w:rPr>
          <w:rFonts w:hint="eastAsia" w:hAnsi="宋体" w:cs="Arial"/>
          <w:b/>
          <w:sz w:val="36"/>
          <w:szCs w:val="36"/>
        </w:rPr>
      </w:pPr>
    </w:p>
    <w:p w14:paraId="2742B922">
      <w:pPr>
        <w:widowControl/>
        <w:adjustRightInd w:val="0"/>
        <w:snapToGrid w:val="0"/>
        <w:spacing w:line="360" w:lineRule="auto"/>
        <w:jc w:val="center"/>
        <w:rPr>
          <w:rFonts w:hint="eastAsia" w:hAnsi="宋体" w:cs="Arial"/>
          <w:b/>
          <w:sz w:val="36"/>
          <w:szCs w:val="36"/>
        </w:rPr>
      </w:pPr>
    </w:p>
    <w:p w14:paraId="45C505D9">
      <w:pPr>
        <w:widowControl/>
        <w:adjustRightInd w:val="0"/>
        <w:snapToGrid w:val="0"/>
        <w:spacing w:line="360" w:lineRule="auto"/>
        <w:jc w:val="center"/>
        <w:rPr>
          <w:rFonts w:hint="eastAsia" w:hAnsi="宋体" w:cs="Arial"/>
          <w:b/>
          <w:sz w:val="36"/>
          <w:szCs w:val="36"/>
        </w:rPr>
      </w:pPr>
    </w:p>
    <w:p w14:paraId="327E2E06">
      <w:pPr>
        <w:widowControl/>
        <w:adjustRightInd w:val="0"/>
        <w:snapToGrid w:val="0"/>
        <w:spacing w:line="360" w:lineRule="auto"/>
        <w:jc w:val="center"/>
        <w:rPr>
          <w:rFonts w:hint="eastAsia" w:hAnsi="宋体" w:cs="Arial"/>
          <w:b/>
          <w:sz w:val="36"/>
          <w:szCs w:val="36"/>
        </w:rPr>
      </w:pPr>
    </w:p>
    <w:p w14:paraId="2DB86E01">
      <w:pPr>
        <w:widowControl/>
        <w:adjustRightInd w:val="0"/>
        <w:snapToGrid w:val="0"/>
        <w:spacing w:line="360" w:lineRule="auto"/>
        <w:jc w:val="center"/>
        <w:rPr>
          <w:rFonts w:hint="eastAsia" w:hAnsi="宋体" w:cs="Arial"/>
          <w:b/>
          <w:sz w:val="36"/>
          <w:szCs w:val="36"/>
        </w:rPr>
      </w:pPr>
    </w:p>
    <w:p w14:paraId="1760DD54">
      <w:pPr>
        <w:widowControl/>
        <w:jc w:val="left"/>
        <w:rPr>
          <w:rFonts w:hint="eastAsia" w:ascii="宋体" w:hAnsi="宋体" w:cs="Arial"/>
          <w:b/>
          <w:color w:val="000000"/>
          <w:sz w:val="28"/>
          <w:szCs w:val="28"/>
        </w:rPr>
      </w:pPr>
      <w:r>
        <w:rPr>
          <w:rFonts w:ascii="宋体" w:hAnsi="宋体" w:cs="Arial"/>
          <w:b/>
          <w:color w:val="000000"/>
          <w:sz w:val="28"/>
          <w:szCs w:val="28"/>
        </w:rPr>
        <w:br w:type="page"/>
      </w:r>
    </w:p>
    <w:p w14:paraId="7A17A57F">
      <w:pPr>
        <w:spacing w:line="360" w:lineRule="atLeast"/>
        <w:rPr>
          <w:szCs w:val="21"/>
        </w:rPr>
      </w:pPr>
    </w:p>
    <w:p w14:paraId="7834EC00">
      <w:pPr>
        <w:pStyle w:val="145"/>
        <w:widowControl w:val="0"/>
        <w:numPr>
          <w:ilvl w:val="0"/>
          <w:numId w:val="5"/>
        </w:numPr>
        <w:spacing w:line="276" w:lineRule="auto"/>
        <w:ind w:left="426"/>
        <w:contextualSpacing w:val="0"/>
        <w:rPr>
          <w:rFonts w:hint="eastAsia" w:ascii="宋体" w:hAnsi="宋体"/>
          <w:b/>
        </w:rPr>
      </w:pPr>
      <w:r>
        <w:rPr>
          <w:rFonts w:hint="eastAsia" w:ascii="宋体" w:hAnsi="宋体"/>
          <w:b/>
        </w:rPr>
        <w:t xml:space="preserve">设备简介： </w:t>
      </w:r>
    </w:p>
    <w:p w14:paraId="214EA760">
      <w:pPr>
        <w:pStyle w:val="145"/>
        <w:widowControl w:val="0"/>
        <w:numPr>
          <w:ilvl w:val="0"/>
          <w:numId w:val="6"/>
        </w:numPr>
        <w:contextualSpacing w:val="0"/>
        <w:rPr>
          <w:rFonts w:hint="eastAsia" w:ascii="宋体" w:hAnsi="宋体" w:cs="宋体"/>
          <w:b w:val="0"/>
          <w:bCs/>
          <w:highlight w:val="none"/>
          <w:lang w:val="en-US" w:eastAsia="zh-CN"/>
        </w:rPr>
      </w:pPr>
      <w:r>
        <w:rPr>
          <w:rFonts w:hint="eastAsia" w:ascii="宋体" w:hAnsi="宋体" w:cs="宋体"/>
          <w:b/>
          <w:szCs w:val="21"/>
          <w:lang w:eastAsia="zh-CN"/>
        </w:rPr>
        <w:t>功能概述：</w:t>
      </w:r>
      <w:r>
        <w:rPr>
          <w:rFonts w:hint="eastAsia" w:ascii="宋体" w:hAnsi="宋体" w:cs="宋体"/>
          <w:b w:val="0"/>
          <w:bCs/>
          <w:szCs w:val="21"/>
          <w:lang w:eastAsia="zh-CN"/>
        </w:rPr>
        <w:t>用于物料在密闭腔体内的真空加热干燥、氮气置换吹扫和温度过程监控，支持多段温度曲线、抽真空—充氮循环、阶段性排气、多通道温度采集与数据导出。</w:t>
      </w:r>
    </w:p>
    <w:p w14:paraId="6177CC97">
      <w:pPr>
        <w:pStyle w:val="145"/>
        <w:widowControl w:val="0"/>
        <w:numPr>
          <w:ilvl w:val="0"/>
          <w:numId w:val="6"/>
        </w:numPr>
        <w:contextualSpacing w:val="0"/>
        <w:rPr>
          <w:rFonts w:hint="eastAsia" w:ascii="宋体" w:hAnsi="宋体" w:cs="宋体"/>
          <w:b w:val="0"/>
          <w:bCs/>
          <w:highlight w:val="none"/>
          <w:lang w:val="en-US" w:eastAsia="zh-CN"/>
        </w:rPr>
      </w:pPr>
      <w:r>
        <w:rPr>
          <w:rFonts w:hint="eastAsia" w:ascii="宋体" w:hAnsi="宋体"/>
          <w:b/>
          <w:szCs w:val="21"/>
          <w:highlight w:val="none"/>
          <w:lang w:eastAsia="zh-CN"/>
        </w:rPr>
        <w:t>功能特点：</w:t>
      </w:r>
      <w:r>
        <w:rPr>
          <w:rFonts w:hint="eastAsia" w:ascii="宋体" w:hAnsi="宋体"/>
          <w:b w:val="0"/>
          <w:bCs/>
          <w:szCs w:val="21"/>
          <w:highlight w:val="none"/>
          <w:lang w:eastAsia="zh-CN"/>
        </w:rPr>
        <w:t>采用大尺寸圆柱形密闭内腔和可锁紧腔门，具备真空保持、氮气置换、分阶段排气及压力监控功能；干燥工艺可编程运行，并配置腔门联锁、独立超温保护、超压保护和故障报警，满足定制物料的密闭干燥需求。</w:t>
      </w:r>
    </w:p>
    <w:p w14:paraId="4BF097F8">
      <w:pPr>
        <w:pStyle w:val="145"/>
        <w:widowControl w:val="0"/>
        <w:numPr>
          <w:ilvl w:val="0"/>
          <w:numId w:val="7"/>
        </w:numPr>
        <w:contextualSpacing w:val="0"/>
        <w:jc w:val="both"/>
        <w:rPr>
          <w:rFonts w:hint="eastAsia" w:ascii="宋体" w:hAnsi="宋体"/>
          <w:b/>
          <w:vanish/>
        </w:rPr>
      </w:pPr>
    </w:p>
    <w:p w14:paraId="6802DA23">
      <w:pPr>
        <w:pStyle w:val="145"/>
        <w:widowControl w:val="0"/>
        <w:numPr>
          <w:ilvl w:val="0"/>
          <w:numId w:val="5"/>
        </w:numPr>
        <w:spacing w:line="276" w:lineRule="auto"/>
        <w:ind w:left="426"/>
        <w:contextualSpacing w:val="0"/>
        <w:rPr>
          <w:rFonts w:hint="eastAsia" w:ascii="宋体" w:hAnsi="宋体"/>
          <w:szCs w:val="21"/>
          <w:lang w:eastAsia="zh-CN"/>
        </w:rPr>
      </w:pPr>
      <w:r>
        <w:rPr>
          <w:rFonts w:hint="eastAsia" w:ascii="宋体" w:hAnsi="宋体"/>
          <w:b/>
          <w:lang w:eastAsia="zh-CN"/>
        </w:rPr>
        <w:t>设备主要性能参数 （</w:t>
      </w:r>
      <w:bookmarkStart w:id="132" w:name="OLE_LINK1"/>
      <w:r>
        <w:rPr>
          <w:rFonts w:hint="eastAsia" w:ascii="宋体" w:hAnsi="宋体" w:cs="宋体"/>
          <w:color w:val="000000"/>
          <w:lang w:eastAsia="zh-CN"/>
        </w:rPr>
        <w:t>★</w:t>
      </w:r>
      <w:bookmarkEnd w:id="132"/>
      <w:r>
        <w:rPr>
          <w:rFonts w:hint="eastAsia" w:ascii="宋体" w:hAnsi="宋体" w:cs="宋体"/>
          <w:color w:val="000000"/>
          <w:lang w:eastAsia="zh-CN"/>
        </w:rPr>
        <w:t>为必选项</w:t>
      </w:r>
      <w:r>
        <w:rPr>
          <w:rFonts w:hint="eastAsia" w:ascii="宋体" w:hAnsi="宋体"/>
          <w:b/>
          <w:lang w:eastAsia="zh-CN"/>
        </w:rPr>
        <w:t>）</w:t>
      </w:r>
    </w:p>
    <w:tbl>
      <w:tblPr>
        <w:tblStyle w:val="77"/>
        <w:tblW w:w="4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6665"/>
      </w:tblGrid>
      <w:tr w14:paraId="4788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blHeader/>
          <w:jc w:val="center"/>
        </w:trPr>
        <w:tc>
          <w:tcPr>
            <w:tcW w:w="648" w:type="pct"/>
            <w:tcBorders>
              <w:top w:val="single" w:color="auto" w:sz="4" w:space="0"/>
              <w:left w:val="single" w:color="auto" w:sz="4" w:space="0"/>
              <w:bottom w:val="single" w:color="auto" w:sz="4" w:space="0"/>
              <w:right w:val="single" w:color="auto" w:sz="4" w:space="0"/>
            </w:tcBorders>
            <w:vAlign w:val="center"/>
          </w:tcPr>
          <w:p w14:paraId="507750C6">
            <w:pPr>
              <w:adjustRightInd w:val="0"/>
              <w:snapToGrid w:val="0"/>
              <w:jc w:val="center"/>
              <w:rPr>
                <w:rFonts w:hint="eastAsia" w:ascii="宋体" w:hAnsi="宋体" w:cs="宋体"/>
                <w:b/>
                <w:snapToGrid w:val="0"/>
                <w:sz w:val="24"/>
                <w:szCs w:val="24"/>
              </w:rPr>
            </w:pPr>
            <w:bookmarkStart w:id="133" w:name="_Hlk200516894"/>
            <w:r>
              <w:rPr>
                <w:rFonts w:hint="eastAsia" w:ascii="宋体" w:hAnsi="宋体" w:cs="宋体"/>
                <w:b/>
                <w:snapToGrid w:val="0"/>
                <w:sz w:val="24"/>
                <w:szCs w:val="24"/>
              </w:rPr>
              <w:t>需求项</w:t>
            </w:r>
          </w:p>
        </w:tc>
        <w:tc>
          <w:tcPr>
            <w:tcW w:w="4351" w:type="pct"/>
            <w:tcBorders>
              <w:top w:val="single" w:color="auto" w:sz="4" w:space="0"/>
              <w:left w:val="single" w:color="auto" w:sz="4" w:space="0"/>
              <w:bottom w:val="single" w:color="auto" w:sz="4" w:space="0"/>
              <w:right w:val="single" w:color="auto" w:sz="4" w:space="0"/>
            </w:tcBorders>
            <w:vAlign w:val="center"/>
          </w:tcPr>
          <w:p w14:paraId="0C629087">
            <w:pPr>
              <w:adjustRightInd w:val="0"/>
              <w:snapToGrid w:val="0"/>
              <w:jc w:val="center"/>
              <w:rPr>
                <w:rFonts w:hint="eastAsia" w:ascii="宋体" w:hAnsi="宋体" w:cs="宋体"/>
                <w:b/>
                <w:snapToGrid w:val="0"/>
                <w:sz w:val="24"/>
                <w:szCs w:val="24"/>
              </w:rPr>
            </w:pPr>
            <w:r>
              <w:rPr>
                <w:rFonts w:hint="eastAsia" w:ascii="宋体" w:hAnsi="宋体" w:cs="宋体"/>
                <w:b/>
                <w:bCs/>
                <w:snapToGrid w:val="0"/>
                <w:sz w:val="24"/>
                <w:szCs w:val="24"/>
              </w:rPr>
              <w:t>技术规格参数</w:t>
            </w:r>
            <w:r>
              <w:rPr>
                <w:rFonts w:hint="eastAsia" w:ascii="宋体" w:hAnsi="宋体" w:cs="宋体"/>
                <w:b/>
                <w:snapToGrid w:val="0"/>
                <w:sz w:val="24"/>
                <w:szCs w:val="24"/>
              </w:rPr>
              <w:t>需求</w:t>
            </w:r>
          </w:p>
        </w:tc>
      </w:tr>
      <w:tr w14:paraId="072A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48" w:type="pct"/>
            <w:tcBorders>
              <w:top w:val="single" w:color="auto" w:sz="4" w:space="0"/>
              <w:left w:val="single" w:color="auto" w:sz="4" w:space="0"/>
              <w:bottom w:val="single" w:color="auto" w:sz="4" w:space="0"/>
              <w:right w:val="single" w:color="auto" w:sz="4" w:space="0"/>
            </w:tcBorders>
            <w:vAlign w:val="center"/>
          </w:tcPr>
          <w:p w14:paraId="5F9D2241">
            <w:pPr>
              <w:adjustRightInd w:val="0"/>
              <w:snapToGrid w:val="0"/>
              <w:rPr>
                <w:rFonts w:hint="default" w:ascii="宋体" w:hAnsi="宋体" w:cs="宋体" w:eastAsiaTheme="minorEastAsia"/>
                <w:snapToGrid w:val="0"/>
                <w:sz w:val="24"/>
                <w:szCs w:val="24"/>
                <w:lang w:val="en-US" w:eastAsia="zh-CN"/>
              </w:rPr>
            </w:pPr>
            <w:r>
              <w:rPr>
                <w:rFonts w:hint="eastAsia" w:ascii="宋体" w:hAnsi="宋体" w:cs="宋体"/>
                <w:snapToGrid w:val="0"/>
                <w:sz w:val="24"/>
                <w:szCs w:val="24"/>
                <w:lang w:val="en-US" w:eastAsia="zh-CN"/>
              </w:rPr>
              <w:t>密闭干燥温度控制系统</w:t>
            </w:r>
          </w:p>
        </w:tc>
        <w:tc>
          <w:tcPr>
            <w:tcW w:w="4351" w:type="pct"/>
            <w:tcBorders>
              <w:top w:val="single" w:color="auto" w:sz="4" w:space="0"/>
              <w:left w:val="single" w:color="auto" w:sz="4" w:space="0"/>
              <w:bottom w:val="single" w:color="auto" w:sz="4" w:space="0"/>
              <w:right w:val="single" w:color="auto" w:sz="4" w:space="0"/>
            </w:tcBorders>
            <w:vAlign w:val="center"/>
          </w:tcPr>
          <w:p w14:paraId="037D3CEF">
            <w:pPr>
              <w:pStyle w:val="69"/>
              <w:numPr>
                <w:ilvl w:val="0"/>
                <w:numId w:val="8"/>
              </w:numPr>
              <w:spacing w:before="156" w:beforeLines="50" w:line="360" w:lineRule="auto"/>
              <w:rPr>
                <w:rFonts w:ascii="Times New Roman" w:hAnsi="Times New Roman" w:cs="Times New Roman"/>
                <w:b/>
              </w:rPr>
            </w:pPr>
            <w:r>
              <w:rPr>
                <w:rFonts w:ascii="Times New Roman" w:hAnsi="Times New Roman" w:cs="Times New Roman"/>
                <w:b/>
              </w:rPr>
              <w:t>主要用途</w:t>
            </w:r>
          </w:p>
          <w:p w14:paraId="7A3D3246">
            <w:pPr>
              <w:adjustRightInd w:val="0"/>
              <w:snapToGrid w:val="0"/>
              <w:spacing w:before="156" w:beforeLines="50" w:line="360" w:lineRule="auto"/>
              <w:rPr>
                <w:sz w:val="24"/>
                <w:szCs w:val="24"/>
              </w:rPr>
            </w:pPr>
            <w:r>
              <w:rPr>
                <w:sz w:val="24"/>
                <w:szCs w:val="24"/>
              </w:rPr>
              <w:t>密闭环境下的程序升温、恒温干燥及温度过程监控</w:t>
            </w:r>
          </w:p>
          <w:p w14:paraId="357C168E">
            <w:pPr>
              <w:adjustRightInd w:val="0"/>
              <w:snapToGrid w:val="0"/>
              <w:spacing w:before="156" w:beforeLines="50" w:line="360" w:lineRule="auto"/>
              <w:rPr>
                <w:b/>
                <w:sz w:val="24"/>
                <w:szCs w:val="24"/>
              </w:rPr>
            </w:pPr>
            <w:r>
              <w:rPr>
                <w:b/>
                <w:sz w:val="24"/>
                <w:szCs w:val="24"/>
              </w:rPr>
              <w:t>2. 仪器工作环境要求</w:t>
            </w:r>
          </w:p>
          <w:p w14:paraId="2E90286E">
            <w:pPr>
              <w:spacing w:line="360" w:lineRule="auto"/>
              <w:rPr>
                <w:sz w:val="24"/>
                <w:szCs w:val="24"/>
              </w:rPr>
            </w:pPr>
            <w:r>
              <w:rPr>
                <w:sz w:val="24"/>
                <w:szCs w:val="24"/>
              </w:rPr>
              <w:t>环境温度：5℃～40℃</w:t>
            </w:r>
          </w:p>
          <w:p w14:paraId="1B8796D8">
            <w:pPr>
              <w:spacing w:line="360" w:lineRule="auto"/>
              <w:rPr>
                <w:sz w:val="24"/>
                <w:szCs w:val="24"/>
              </w:rPr>
            </w:pPr>
            <w:r>
              <w:rPr>
                <w:sz w:val="24"/>
                <w:szCs w:val="24"/>
              </w:rPr>
              <w:t>环境湿度：≤85%RH</w:t>
            </w:r>
          </w:p>
          <w:p w14:paraId="7F324693">
            <w:pPr>
              <w:spacing w:line="360" w:lineRule="auto"/>
              <w:rPr>
                <w:sz w:val="24"/>
                <w:szCs w:val="24"/>
              </w:rPr>
            </w:pPr>
            <w:r>
              <w:rPr>
                <w:sz w:val="24"/>
                <w:szCs w:val="24"/>
              </w:rPr>
              <w:t>电源：AC220V，50Hz</w:t>
            </w:r>
          </w:p>
          <w:p w14:paraId="3A2DD3EE">
            <w:pPr>
              <w:spacing w:before="156" w:beforeLines="50" w:line="360" w:lineRule="auto"/>
              <w:rPr>
                <w:b/>
                <w:sz w:val="24"/>
                <w:szCs w:val="24"/>
              </w:rPr>
            </w:pPr>
            <w:r>
              <w:rPr>
                <w:b/>
                <w:sz w:val="24"/>
                <w:szCs w:val="24"/>
              </w:rPr>
              <w:t>3. 技术指标要求</w:t>
            </w:r>
          </w:p>
          <w:p w14:paraId="0297CC29">
            <w:pPr>
              <w:spacing w:line="360" w:lineRule="auto"/>
              <w:rPr>
                <w:sz w:val="24"/>
                <w:szCs w:val="24"/>
                <w:lang w:val="zh-CN"/>
              </w:rPr>
            </w:pPr>
            <w:r>
              <w:rPr>
                <w:sz w:val="24"/>
                <w:szCs w:val="24"/>
              </w:rPr>
              <w:t>3.1 温度控制范围满足RT～300℃；</w:t>
            </w:r>
          </w:p>
          <w:p w14:paraId="2B40FBDC">
            <w:pPr>
              <w:adjustRightInd w:val="0"/>
              <w:snapToGrid w:val="0"/>
              <w:spacing w:before="156" w:beforeLines="50" w:line="360" w:lineRule="auto"/>
              <w:rPr>
                <w:rFonts w:hint="default" w:ascii="Times New Roman" w:hAnsi="Times New Roman" w:cs="Times New Roman"/>
                <w:sz w:val="24"/>
                <w:szCs w:val="24"/>
              </w:rPr>
            </w:pPr>
            <w:r>
              <w:rPr>
                <w:rFonts w:hint="eastAsia" w:ascii="宋体" w:hAnsi="宋体" w:cs="宋体"/>
                <w:color w:val="000000"/>
                <w:lang w:eastAsia="zh-CN"/>
              </w:rPr>
              <w:t>★3.2 控制模式：至少包括程序升温、恒温干燥、定时运行及多段温度曲线控制；</w:t>
            </w:r>
          </w:p>
          <w:p w14:paraId="5908F371">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3.3 温度解析度需等于或优于0.01℃；</w:t>
            </w:r>
          </w:p>
          <w:p w14:paraId="0DE61716">
            <w:pPr>
              <w:adjustRightInd w:val="0"/>
              <w:snapToGrid w:val="0"/>
              <w:spacing w:before="156" w:beforeLines="50" w:line="360" w:lineRule="auto"/>
              <w:rPr>
                <w:rFonts w:hint="default" w:ascii="Times New Roman" w:hAnsi="Times New Roman" w:cs="Times New Roman"/>
                <w:sz w:val="24"/>
                <w:szCs w:val="24"/>
                <w:lang w:val="zh-CN"/>
              </w:rPr>
            </w:pPr>
            <w:r>
              <w:rPr>
                <w:rFonts w:hint="default" w:ascii="Times New Roman" w:hAnsi="Times New Roman" w:cs="Times New Roman"/>
                <w:sz w:val="24"/>
                <w:szCs w:val="24"/>
                <w:lang w:eastAsia="zh-CN"/>
              </w:rPr>
              <w:t>★3.4 内腔尺寸：直径不小于400mm，深度不小于1200mm；</w:t>
            </w:r>
          </w:p>
          <w:p w14:paraId="17E0CCFC">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3.5 温度精度需等于或优于±0.3℃；</w:t>
            </w:r>
          </w:p>
          <w:p w14:paraId="05A0A076">
            <w:pPr>
              <w:adjustRightInd w:val="0"/>
              <w:snapToGrid w:val="0"/>
              <w:spacing w:before="156" w:beforeLines="50"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3.6 温度采集通道≥32个；</w:t>
            </w:r>
          </w:p>
          <w:p w14:paraId="07C92B3B">
            <w:pPr>
              <w:adjustRightInd w:val="0"/>
              <w:snapToGrid w:val="0"/>
              <w:spacing w:before="156" w:beforeLines="50" w:line="360" w:lineRule="auto"/>
              <w:rPr>
                <w:rFonts w:hint="default" w:ascii="Times New Roman" w:hAnsi="Times New Roman" w:cs="Times New Roman"/>
                <w:sz w:val="24"/>
                <w:szCs w:val="24"/>
                <w:lang w:val="zh-CN"/>
              </w:rPr>
            </w:pPr>
            <w:r>
              <w:rPr>
                <w:rFonts w:hint="default" w:ascii="Times New Roman" w:hAnsi="Times New Roman" w:cs="Times New Roman"/>
                <w:sz w:val="24"/>
                <w:szCs w:val="24"/>
                <w:lang w:eastAsia="zh-CN"/>
              </w:rPr>
              <w:t>3.7 恒温运行时温度稳定性需等于或优于±1℃/min；</w:t>
            </w:r>
          </w:p>
          <w:p w14:paraId="6838E88F">
            <w:pPr>
              <w:adjustRightInd w:val="0"/>
              <w:snapToGrid w:val="0"/>
              <w:spacing w:before="156" w:beforeLines="50" w:line="360" w:lineRule="auto"/>
              <w:rPr>
                <w:rFonts w:hint="default" w:ascii="Times New Roman" w:hAnsi="Times New Roman" w:cs="Times New Roman"/>
                <w:sz w:val="24"/>
                <w:szCs w:val="24"/>
                <w:lang w:val="zh-CN"/>
              </w:rPr>
            </w:pPr>
            <w:r>
              <w:rPr>
                <w:rFonts w:hint="default" w:ascii="Times New Roman" w:hAnsi="Times New Roman" w:cs="Times New Roman"/>
                <w:sz w:val="24"/>
                <w:szCs w:val="24"/>
              </w:rPr>
              <w:t>3.8 程序升温速率可在0.01℃/min～15℃/min范围内设定；</w:t>
            </w:r>
          </w:p>
          <w:p w14:paraId="37E4AAA3">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lang w:eastAsia="zh-CN"/>
              </w:rPr>
              <w:t>3.9 恒温阶段腔内温度控制偏差≤±0.5℃；</w:t>
            </w:r>
          </w:p>
          <w:p w14:paraId="45358859">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3.10 支持多段程序升温、保温及定时干燥，可编制、调用并保存工艺温度曲线；</w:t>
            </w:r>
          </w:p>
          <w:p w14:paraId="3AEC6919">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3.11 设备需配备温度测量通道校准功能；</w:t>
            </w:r>
          </w:p>
          <w:p w14:paraId="62C5A40F">
            <w:pPr>
              <w:adjustRightInd w:val="0"/>
              <w:snapToGrid w:val="0"/>
              <w:spacing w:before="156" w:beforeLines="50"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eastAsia="zh-CN"/>
              </w:rPr>
              <w:t>3.12 设备采用密闭腔体结构，腔门具备运行联锁，开门状态下不得启动加热；</w:t>
            </w:r>
          </w:p>
          <w:p w14:paraId="0C59A86E">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lang w:eastAsia="zh-CN"/>
              </w:rPr>
              <w:t>★3.13 设备具备独立超温保护、故障报警及异常断电保护功能，报警信息可查询；</w:t>
            </w:r>
          </w:p>
          <w:p w14:paraId="333A81B0">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3.14 设备具备温度过程记录、历史曲线查询和数据导出功能，数据导出格式便于通用软件读取；</w:t>
            </w:r>
          </w:p>
          <w:p w14:paraId="15E7918C">
            <w:pPr>
              <w:adjustRightInd w:val="0"/>
              <w:snapToGrid w:val="0"/>
              <w:spacing w:before="156" w:beforeLines="50" w:line="360" w:lineRule="auto"/>
              <w:rPr>
                <w:rFonts w:hint="default" w:ascii="Times New Roman" w:hAnsi="Times New Roman" w:cs="Times New Roman"/>
                <w:sz w:val="24"/>
                <w:szCs w:val="24"/>
              </w:rPr>
            </w:pPr>
            <w:r>
              <w:rPr>
                <w:rFonts w:hint="default" w:ascii="Times New Roman" w:hAnsi="Times New Roman" w:cs="Times New Roman"/>
                <w:sz w:val="24"/>
                <w:szCs w:val="24"/>
              </w:rPr>
              <w:t>3.15 采用耐高温温度传感器，传感器、密封接头等易维护部件应便于检修和更换。</w:t>
            </w:r>
          </w:p>
          <w:p w14:paraId="68C43ACF">
            <w:pPr>
              <w:adjustRightInd w:val="0"/>
              <w:snapToGrid w:val="0"/>
              <w:spacing w:before="156" w:beforeLines="50" w:line="36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3.16 真空干燥能力：配备真空泵及真空控制组件，空载条件下腔内绝对压力可达到≤10kPa；可按工艺自动抽真空和保持；</w:t>
            </w:r>
          </w:p>
          <w:p w14:paraId="1C43964B">
            <w:pPr>
              <w:adjustRightInd w:val="0"/>
              <w:snapToGrid w:val="0"/>
              <w:spacing w:before="156" w:beforeLines="50"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★3.17 密闭性能：空载、常温条件下，将腔内抽至≤10kPa（绝压）后隔离真空泵，保压30min，腔内压力上升值≤0.3kP；</w:t>
            </w:r>
          </w:p>
          <w:p w14:paraId="7FF3C174">
            <w:pPr>
              <w:adjustRightInd w:val="0"/>
              <w:snapToGrid w:val="0"/>
              <w:spacing w:before="156" w:beforeLines="50" w:line="36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3.18 氮气置换吹扫：配置氮气进气、过滤、减压、流量调节及自动切断组件，氮气流量在0～100L/min范围内可调；支持抽真空后自动充氮破真空及氮气吹扫，氮气进排气不得破坏腔体密封；</w:t>
            </w:r>
          </w:p>
          <w:p w14:paraId="7FF3C175">
            <w:pPr>
              <w:adjustRightInd w:val="0"/>
              <w:snapToGrid w:val="0"/>
              <w:spacing w:before="156" w:beforeLines="50" w:line="36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3.19 循环干燥程序：支持“抽真空—真空保持—加热恒温—充氮置换—阶段性排气”自动组合运行；各阶段温度、目标压力、保持时间、排气时间及循环次数均可设定，自动循环次数至少可设定20次；</w:t>
            </w:r>
          </w:p>
          <w:p w14:paraId="7FF3C176">
            <w:pPr>
              <w:adjustRightInd w:val="0"/>
              <w:snapToGrid w:val="0"/>
              <w:spacing w:before="156" w:beforeLines="50" w:line="360" w:lineRule="auto"/>
              <w:rPr>
                <w:rFonts w:hint="default" w:ascii="Times New Roman" w:hAnsi="Times New Roman" w:cs="Times New Roman" w:eastAsiaTheme="minorEastAsia"/>
                <w:sz w:val="24"/>
                <w:szCs w:val="24"/>
                <w:lang w:val="en-US" w:eastAsia="zh-CN"/>
              </w:rPr>
            </w:pPr>
            <w:bookmarkStart w:id="150" w:name="_GoBack"/>
            <w:bookmarkEnd w:id="150"/>
            <w:r>
              <w:rPr>
                <w:rFonts w:hint="eastAsia" w:ascii="Times New Roman" w:hAnsi="Times New Roman" w:cs="Times New Roman"/>
                <w:sz w:val="24"/>
                <w:szCs w:val="24"/>
                <w:lang w:val="en-US" w:eastAsia="zh-CN"/>
              </w:rPr>
              <w:t>3.20 阶段性排气：配备可编程排气阀和独立排气管路，可按阶段或按设定压力自动排气；排气接口可连接厂房排风或尾气处理设施，排气与真空泵、氮气进气之间应具有联锁，不得同时开启相互冲突的通路；</w:t>
            </w:r>
          </w:p>
          <w:p w14:paraId="7FF3C177">
            <w:pPr>
              <w:adjustRightInd w:val="0"/>
              <w:snapToGrid w:val="0"/>
              <w:spacing w:before="156" w:beforeLines="50" w:line="36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3.21 气路维护与安全：真空入口设置可拆卸过滤或冷凝捕集装置，减少水汽及颗粒物进入真空泵；系统具备超压保护，腔内压力异常或腔门未锁紧时，禁止加热并切断氮气进气，必要时自动泄压。</w:t>
            </w:r>
          </w:p>
        </w:tc>
      </w:tr>
      <w:bookmarkEnd w:id="133"/>
    </w:tbl>
    <w:p w14:paraId="295DE97D">
      <w:pPr>
        <w:pStyle w:val="145"/>
        <w:widowControl w:val="0"/>
        <w:spacing w:line="276" w:lineRule="auto"/>
        <w:ind w:left="0"/>
        <w:contextualSpacing w:val="0"/>
        <w:rPr>
          <w:rFonts w:hint="eastAsia" w:ascii="宋体" w:hAnsi="宋体"/>
          <w:b/>
          <w:highlight w:val="yellow"/>
          <w:lang w:eastAsia="zh-CN"/>
        </w:rPr>
      </w:pPr>
    </w:p>
    <w:p w14:paraId="12D33A67">
      <w:pPr>
        <w:pStyle w:val="173"/>
        <w:ind w:firstLineChars="0"/>
        <w:rPr>
          <w:rFonts w:hint="eastAsia" w:ascii="宋体" w:hAnsi="宋体"/>
          <w:szCs w:val="21"/>
          <w:highlight w:val="yellow"/>
        </w:rPr>
      </w:pPr>
    </w:p>
    <w:p w14:paraId="4C74490D">
      <w:pPr>
        <w:pStyle w:val="145"/>
        <w:widowControl w:val="0"/>
        <w:numPr>
          <w:ilvl w:val="0"/>
          <w:numId w:val="5"/>
        </w:numPr>
        <w:spacing w:line="276" w:lineRule="auto"/>
        <w:ind w:left="426"/>
        <w:contextualSpacing w:val="0"/>
        <w:rPr>
          <w:rFonts w:hint="eastAsia" w:ascii="宋体" w:hAnsi="宋体"/>
          <w:b/>
        </w:rPr>
      </w:pPr>
      <w:r>
        <w:rPr>
          <w:rFonts w:hint="eastAsia" w:ascii="宋体" w:hAnsi="宋体"/>
          <w:b/>
        </w:rPr>
        <w:t>主要元器件配置清单</w:t>
      </w:r>
    </w:p>
    <w:tbl>
      <w:tblPr>
        <w:tblStyle w:val="77"/>
        <w:tblW w:w="8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2809"/>
        <w:gridCol w:w="2280"/>
        <w:gridCol w:w="1952"/>
      </w:tblGrid>
      <w:tr w14:paraId="27E6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shd w:val="clear" w:color="auto" w:fill="DDD9C4" w:themeFill="background2" w:themeFillShade="E6"/>
            <w:vAlign w:val="center"/>
          </w:tcPr>
          <w:p w14:paraId="24234414">
            <w:pPr>
              <w:jc w:val="center"/>
              <w:rPr>
                <w:rFonts w:hint="eastAsia" w:ascii="宋体" w:hAnsi="宋体" w:cs="Arial"/>
                <w:szCs w:val="21"/>
              </w:rPr>
            </w:pPr>
            <w:r>
              <w:rPr>
                <w:rFonts w:hint="eastAsia" w:ascii="宋体" w:hAnsi="宋体" w:cs="Arial"/>
                <w:szCs w:val="21"/>
              </w:rPr>
              <w:t>序 号</w:t>
            </w:r>
          </w:p>
        </w:tc>
        <w:tc>
          <w:tcPr>
            <w:tcW w:w="2809" w:type="dxa"/>
            <w:shd w:val="clear" w:color="auto" w:fill="DDD9C4" w:themeFill="background2" w:themeFillShade="E6"/>
            <w:vAlign w:val="center"/>
          </w:tcPr>
          <w:p w14:paraId="77F76A43">
            <w:pPr>
              <w:jc w:val="center"/>
              <w:rPr>
                <w:rFonts w:hint="eastAsia" w:ascii="宋体" w:hAnsi="宋体" w:cs="Arial"/>
                <w:szCs w:val="21"/>
              </w:rPr>
            </w:pPr>
            <w:r>
              <w:rPr>
                <w:rFonts w:hint="eastAsia" w:ascii="宋体" w:hAnsi="宋体" w:cs="Arial"/>
                <w:szCs w:val="21"/>
              </w:rPr>
              <w:t>名 称</w:t>
            </w:r>
          </w:p>
        </w:tc>
        <w:tc>
          <w:tcPr>
            <w:tcW w:w="2280" w:type="dxa"/>
            <w:shd w:val="clear" w:color="auto" w:fill="DDD9C4" w:themeFill="background2" w:themeFillShade="E6"/>
            <w:vAlign w:val="center"/>
          </w:tcPr>
          <w:p w14:paraId="69B4729D">
            <w:pPr>
              <w:jc w:val="center"/>
              <w:rPr>
                <w:rFonts w:hint="eastAsia" w:ascii="宋体" w:hAnsi="宋体" w:cs="Arial" w:eastAsiaTheme="minorEastAsia"/>
                <w:szCs w:val="21"/>
                <w:lang w:eastAsia="zh-CN"/>
              </w:rPr>
            </w:pPr>
            <w:r>
              <w:rPr>
                <w:rFonts w:hint="eastAsia" w:ascii="宋体" w:hAnsi="宋体" w:cs="Arial"/>
                <w:szCs w:val="21"/>
                <w:lang w:val="en-US" w:eastAsia="zh-CN"/>
              </w:rPr>
              <w:t>数量</w:t>
            </w:r>
          </w:p>
        </w:tc>
        <w:tc>
          <w:tcPr>
            <w:tcW w:w="1952" w:type="dxa"/>
            <w:shd w:val="clear" w:color="auto" w:fill="DDD9C4" w:themeFill="background2" w:themeFillShade="E6"/>
            <w:vAlign w:val="center"/>
          </w:tcPr>
          <w:p w14:paraId="4A9DEEFD">
            <w:pPr>
              <w:jc w:val="center"/>
              <w:rPr>
                <w:rFonts w:hint="eastAsia" w:ascii="宋体" w:hAnsi="宋体" w:cs="Arial" w:eastAsiaTheme="minorEastAsia"/>
                <w:szCs w:val="21"/>
                <w:lang w:eastAsia="zh-CN"/>
              </w:rPr>
            </w:pPr>
            <w:r>
              <w:rPr>
                <w:rFonts w:hint="eastAsia" w:ascii="宋体" w:hAnsi="宋体" w:cs="Arial"/>
                <w:szCs w:val="21"/>
                <w:lang w:val="en-US" w:eastAsia="zh-CN"/>
              </w:rPr>
              <w:t>单位</w:t>
            </w:r>
          </w:p>
        </w:tc>
      </w:tr>
      <w:tr w14:paraId="4D86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vAlign w:val="center"/>
          </w:tcPr>
          <w:p w14:paraId="4833960C">
            <w:pPr>
              <w:jc w:val="center"/>
              <w:rPr>
                <w:rFonts w:hint="eastAsia" w:ascii="宋体" w:hAnsi="宋体" w:cs="Arial"/>
                <w:sz w:val="21"/>
                <w:szCs w:val="21"/>
              </w:rPr>
            </w:pPr>
            <w:r>
              <w:rPr>
                <w:sz w:val="24"/>
                <w:szCs w:val="24"/>
              </w:rPr>
              <w:t>1</w:t>
            </w:r>
          </w:p>
        </w:tc>
        <w:tc>
          <w:tcPr>
            <w:tcW w:w="2809" w:type="dxa"/>
            <w:vAlign w:val="center"/>
          </w:tcPr>
          <w:p w14:paraId="7E1033B5">
            <w:pPr>
              <w:jc w:val="center"/>
              <w:rPr>
                <w:rFonts w:hint="eastAsia" w:ascii="宋体" w:hAnsi="宋体" w:cs="Arial"/>
                <w:sz w:val="21"/>
                <w:szCs w:val="21"/>
                <w:lang w:eastAsia="zh-CN"/>
              </w:rPr>
            </w:pPr>
            <w:r>
              <w:rPr>
                <w:rFonts w:hint="eastAsia"/>
                <w:sz w:val="24"/>
                <w:szCs w:val="24"/>
                <w:lang w:val="en-US" w:eastAsia="zh-CN"/>
              </w:rPr>
              <w:t>密闭干燥温度控制系统主机</w:t>
            </w:r>
          </w:p>
        </w:tc>
        <w:tc>
          <w:tcPr>
            <w:tcW w:w="2280" w:type="dxa"/>
            <w:vAlign w:val="center"/>
          </w:tcPr>
          <w:p w14:paraId="4E9C8F6E">
            <w:pPr>
              <w:jc w:val="center"/>
              <w:rPr>
                <w:rFonts w:hint="eastAsia" w:ascii="宋体" w:hAnsi="宋体" w:cs="Arial"/>
                <w:color w:val="FF0000"/>
                <w:sz w:val="21"/>
                <w:szCs w:val="21"/>
              </w:rPr>
            </w:pPr>
            <w:r>
              <w:rPr>
                <w:sz w:val="24"/>
                <w:szCs w:val="24"/>
              </w:rPr>
              <w:t>1</w:t>
            </w:r>
          </w:p>
        </w:tc>
        <w:tc>
          <w:tcPr>
            <w:tcW w:w="1952" w:type="dxa"/>
            <w:vAlign w:val="center"/>
          </w:tcPr>
          <w:p w14:paraId="67373F5B">
            <w:pPr>
              <w:jc w:val="center"/>
              <w:rPr>
                <w:rFonts w:hint="eastAsia" w:ascii="宋体" w:hAnsi="宋体" w:cs="Arial"/>
                <w:szCs w:val="21"/>
              </w:rPr>
            </w:pPr>
            <w:r>
              <w:rPr>
                <w:sz w:val="24"/>
                <w:szCs w:val="24"/>
              </w:rPr>
              <w:t>套</w:t>
            </w:r>
          </w:p>
        </w:tc>
      </w:tr>
      <w:tr w14:paraId="45AA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vAlign w:val="center"/>
          </w:tcPr>
          <w:p w14:paraId="3C46F09C">
            <w:pPr>
              <w:jc w:val="center"/>
              <w:rPr>
                <w:rFonts w:hint="eastAsia" w:ascii="宋体" w:hAnsi="宋体" w:cs="Arial"/>
                <w:sz w:val="21"/>
                <w:szCs w:val="21"/>
              </w:rPr>
            </w:pPr>
            <w:r>
              <w:rPr>
                <w:kern w:val="0"/>
                <w:sz w:val="24"/>
                <w:szCs w:val="24"/>
              </w:rPr>
              <w:t>2</w:t>
            </w:r>
          </w:p>
        </w:tc>
        <w:tc>
          <w:tcPr>
            <w:tcW w:w="2809" w:type="dxa"/>
            <w:vAlign w:val="center"/>
          </w:tcPr>
          <w:p w14:paraId="0889560F">
            <w:pPr>
              <w:jc w:val="center"/>
              <w:rPr>
                <w:rFonts w:hint="eastAsia" w:ascii="宋体" w:hAnsi="宋体" w:cs="Arial"/>
                <w:sz w:val="21"/>
                <w:szCs w:val="21"/>
                <w:lang w:eastAsia="zh-CN"/>
              </w:rPr>
            </w:pPr>
            <w:r>
              <w:rPr>
                <w:sz w:val="24"/>
                <w:szCs w:val="24"/>
              </w:rPr>
              <w:t>系统全自动控制软件，终身免费升级</w:t>
            </w:r>
          </w:p>
        </w:tc>
        <w:tc>
          <w:tcPr>
            <w:tcW w:w="2280" w:type="dxa"/>
            <w:vAlign w:val="center"/>
          </w:tcPr>
          <w:p w14:paraId="17B73892">
            <w:pPr>
              <w:jc w:val="center"/>
              <w:rPr>
                <w:rFonts w:hint="eastAsia" w:ascii="宋体" w:hAnsi="宋体" w:cs="Arial"/>
                <w:sz w:val="21"/>
                <w:szCs w:val="21"/>
              </w:rPr>
            </w:pPr>
            <w:r>
              <w:rPr>
                <w:sz w:val="24"/>
                <w:szCs w:val="24"/>
              </w:rPr>
              <w:t>1</w:t>
            </w:r>
          </w:p>
        </w:tc>
        <w:tc>
          <w:tcPr>
            <w:tcW w:w="1952" w:type="dxa"/>
            <w:vAlign w:val="center"/>
          </w:tcPr>
          <w:p w14:paraId="6B01F893">
            <w:pPr>
              <w:jc w:val="center"/>
              <w:rPr>
                <w:rFonts w:hint="eastAsia" w:ascii="宋体" w:hAnsi="宋体" w:cs="Arial"/>
                <w:szCs w:val="21"/>
              </w:rPr>
            </w:pPr>
            <w:r>
              <w:rPr>
                <w:sz w:val="24"/>
                <w:szCs w:val="24"/>
              </w:rPr>
              <w:t>套</w:t>
            </w:r>
          </w:p>
        </w:tc>
      </w:tr>
    </w:tbl>
    <w:p w14:paraId="04806C47">
      <w:pPr>
        <w:pStyle w:val="145"/>
        <w:widowControl w:val="0"/>
        <w:spacing w:line="276" w:lineRule="auto"/>
        <w:ind w:left="6"/>
        <w:contextualSpacing w:val="0"/>
        <w:rPr>
          <w:rFonts w:hint="eastAsia" w:ascii="宋体" w:hAnsi="宋体"/>
          <w:b/>
        </w:rPr>
      </w:pPr>
    </w:p>
    <w:p w14:paraId="7EB12F10">
      <w:pPr>
        <w:pStyle w:val="145"/>
        <w:widowControl w:val="0"/>
        <w:numPr>
          <w:ilvl w:val="0"/>
          <w:numId w:val="5"/>
        </w:numPr>
        <w:spacing w:line="276" w:lineRule="auto"/>
        <w:ind w:left="426"/>
        <w:contextualSpacing w:val="0"/>
        <w:rPr>
          <w:rFonts w:hint="eastAsia" w:ascii="宋体" w:hAnsi="宋体"/>
          <w:szCs w:val="21"/>
          <w:lang w:eastAsia="zh-CN"/>
        </w:rPr>
      </w:pPr>
      <w:r>
        <w:rPr>
          <w:rFonts w:hint="eastAsia" w:ascii="宋体" w:hAnsi="宋体"/>
          <w:b/>
          <w:lang w:val="en-US" w:eastAsia="zh-CN"/>
        </w:rPr>
        <w:t>资料</w:t>
      </w:r>
      <w:r>
        <w:rPr>
          <w:rFonts w:hint="eastAsia" w:ascii="宋体" w:hAnsi="宋体"/>
          <w:b/>
        </w:rPr>
        <w:t>清单</w:t>
      </w:r>
    </w:p>
    <w:tbl>
      <w:tblPr>
        <w:tblStyle w:val="77"/>
        <w:tblW w:w="8017"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03"/>
        <w:gridCol w:w="2968"/>
        <w:gridCol w:w="1529"/>
        <w:gridCol w:w="1372"/>
        <w:gridCol w:w="1145"/>
      </w:tblGrid>
      <w:tr w14:paraId="5345588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shd w:val="clear" w:color="auto" w:fill="DDD9C4" w:themeFill="background2" w:themeFillShade="E6"/>
            <w:vAlign w:val="center"/>
          </w:tcPr>
          <w:p w14:paraId="6E677078">
            <w:pPr>
              <w:jc w:val="center"/>
              <w:rPr>
                <w:rFonts w:hint="eastAsia" w:ascii="宋体" w:hAnsi="宋体" w:cs="Arial"/>
                <w:szCs w:val="21"/>
              </w:rPr>
            </w:pPr>
            <w:r>
              <w:rPr>
                <w:rFonts w:hint="eastAsia" w:ascii="宋体" w:hAnsi="宋体" w:cs="Arial"/>
                <w:szCs w:val="21"/>
              </w:rPr>
              <w:t>序号</w:t>
            </w:r>
          </w:p>
        </w:tc>
        <w:tc>
          <w:tcPr>
            <w:tcW w:w="2968" w:type="dxa"/>
            <w:tcBorders>
              <w:top w:val="single" w:color="auto" w:sz="4" w:space="0"/>
              <w:left w:val="single" w:color="auto" w:sz="4" w:space="0"/>
              <w:bottom w:val="single" w:color="auto" w:sz="4" w:space="0"/>
              <w:right w:val="single" w:color="auto" w:sz="4" w:space="0"/>
            </w:tcBorders>
            <w:shd w:val="clear" w:color="auto" w:fill="DDD9C4" w:themeFill="background2" w:themeFillShade="E6"/>
            <w:vAlign w:val="center"/>
          </w:tcPr>
          <w:p w14:paraId="1152AEF2">
            <w:pPr>
              <w:jc w:val="center"/>
              <w:rPr>
                <w:rFonts w:hint="eastAsia" w:ascii="宋体" w:hAnsi="宋体" w:cs="Arial"/>
                <w:szCs w:val="21"/>
              </w:rPr>
            </w:pPr>
            <w:r>
              <w:rPr>
                <w:rFonts w:hint="eastAsia" w:ascii="宋体" w:hAnsi="宋体" w:cs="Arial"/>
                <w:szCs w:val="21"/>
              </w:rPr>
              <w:t>名  称</w:t>
            </w:r>
          </w:p>
        </w:tc>
        <w:tc>
          <w:tcPr>
            <w:tcW w:w="1529" w:type="dxa"/>
            <w:tcBorders>
              <w:top w:val="single" w:color="auto" w:sz="4" w:space="0"/>
              <w:left w:val="single" w:color="auto" w:sz="4" w:space="0"/>
              <w:bottom w:val="single" w:color="auto" w:sz="4" w:space="0"/>
              <w:right w:val="single" w:color="auto" w:sz="4" w:space="0"/>
            </w:tcBorders>
            <w:shd w:val="clear" w:color="auto" w:fill="DDD9C4" w:themeFill="background2" w:themeFillShade="E6"/>
            <w:vAlign w:val="center"/>
          </w:tcPr>
          <w:p w14:paraId="2C0E3D6D">
            <w:pPr>
              <w:jc w:val="center"/>
              <w:rPr>
                <w:rFonts w:hint="eastAsia" w:ascii="宋体" w:hAnsi="宋体" w:cs="Arial" w:eastAsiaTheme="minorEastAsia"/>
                <w:szCs w:val="21"/>
                <w:lang w:eastAsia="zh-CN"/>
              </w:rPr>
            </w:pPr>
            <w:r>
              <w:rPr>
                <w:rFonts w:hint="eastAsia" w:ascii="宋体" w:hAnsi="宋体" w:cs="Arial"/>
                <w:szCs w:val="21"/>
                <w:lang w:val="en-US" w:eastAsia="zh-CN"/>
              </w:rPr>
              <w:t>份数</w:t>
            </w:r>
          </w:p>
        </w:tc>
        <w:tc>
          <w:tcPr>
            <w:tcW w:w="1372" w:type="dxa"/>
            <w:tcBorders>
              <w:top w:val="single" w:color="auto" w:sz="4" w:space="0"/>
              <w:left w:val="single" w:color="auto" w:sz="4" w:space="0"/>
              <w:bottom w:val="single" w:color="auto" w:sz="4" w:space="0"/>
              <w:right w:val="single" w:color="auto" w:sz="4" w:space="0"/>
            </w:tcBorders>
            <w:shd w:val="clear" w:color="auto" w:fill="DDD9C4" w:themeFill="background2" w:themeFillShade="E6"/>
            <w:vAlign w:val="center"/>
          </w:tcPr>
          <w:p w14:paraId="39574B53">
            <w:pPr>
              <w:jc w:val="center"/>
              <w:rPr>
                <w:rFonts w:hint="default" w:ascii="宋体" w:hAnsi="宋体" w:cs="Arial" w:eastAsiaTheme="minorEastAsia"/>
                <w:szCs w:val="21"/>
                <w:lang w:val="en-US" w:eastAsia="zh-CN"/>
              </w:rPr>
            </w:pPr>
            <w:r>
              <w:rPr>
                <w:rFonts w:hint="eastAsia" w:ascii="宋体" w:hAnsi="宋体" w:cs="Arial"/>
                <w:szCs w:val="21"/>
                <w:lang w:val="en-US" w:eastAsia="zh-CN"/>
              </w:rPr>
              <w:t>提交时间</w:t>
            </w:r>
          </w:p>
        </w:tc>
        <w:tc>
          <w:tcPr>
            <w:tcW w:w="1145" w:type="dxa"/>
            <w:tcBorders>
              <w:top w:val="single" w:color="auto" w:sz="4" w:space="0"/>
              <w:left w:val="single" w:color="auto" w:sz="4" w:space="0"/>
              <w:bottom w:val="single" w:color="auto" w:sz="4" w:space="0"/>
              <w:right w:val="single" w:color="auto" w:sz="4" w:space="0"/>
            </w:tcBorders>
            <w:shd w:val="clear" w:color="auto" w:fill="DDD9C4" w:themeFill="background2" w:themeFillShade="E6"/>
            <w:vAlign w:val="center"/>
          </w:tcPr>
          <w:p w14:paraId="64F188FD">
            <w:pPr>
              <w:jc w:val="center"/>
              <w:rPr>
                <w:rFonts w:hint="eastAsia" w:ascii="宋体" w:hAnsi="宋体" w:cs="Arial" w:eastAsiaTheme="minorEastAsia"/>
                <w:szCs w:val="21"/>
                <w:lang w:eastAsia="zh-CN"/>
              </w:rPr>
            </w:pPr>
            <w:r>
              <w:rPr>
                <w:rFonts w:hint="eastAsia" w:ascii="宋体" w:hAnsi="宋体" w:cs="Arial"/>
                <w:szCs w:val="21"/>
                <w:lang w:val="en-US" w:eastAsia="zh-CN"/>
              </w:rPr>
              <w:t>备注</w:t>
            </w:r>
          </w:p>
        </w:tc>
      </w:tr>
      <w:tr w14:paraId="5F9A9A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vAlign w:val="center"/>
          </w:tcPr>
          <w:p w14:paraId="26635811">
            <w:pPr>
              <w:jc w:val="center"/>
              <w:rPr>
                <w:rFonts w:hint="eastAsia" w:ascii="宋体" w:hAnsi="宋体" w:cs="宋体"/>
                <w:szCs w:val="21"/>
              </w:rPr>
            </w:pPr>
            <w:r>
              <w:rPr>
                <w:sz w:val="24"/>
                <w:szCs w:val="24"/>
              </w:rPr>
              <w:t>1</w:t>
            </w:r>
          </w:p>
        </w:tc>
        <w:tc>
          <w:tcPr>
            <w:tcW w:w="2968" w:type="dxa"/>
            <w:tcBorders>
              <w:top w:val="single" w:color="auto" w:sz="4" w:space="0"/>
              <w:left w:val="single" w:color="auto" w:sz="4" w:space="0"/>
              <w:bottom w:val="single" w:color="auto" w:sz="4" w:space="0"/>
              <w:right w:val="single" w:color="auto" w:sz="4" w:space="0"/>
            </w:tcBorders>
            <w:vAlign w:val="top"/>
          </w:tcPr>
          <w:p w14:paraId="6AE22E2E">
            <w:pPr>
              <w:rPr>
                <w:sz w:val="24"/>
                <w:szCs w:val="24"/>
              </w:rPr>
            </w:pPr>
            <w:r>
              <w:rPr>
                <w:sz w:val="24"/>
                <w:szCs w:val="24"/>
              </w:rPr>
              <w:t>设备操作手册：</w:t>
            </w:r>
          </w:p>
          <w:p w14:paraId="0F3D1841">
            <w:pPr>
              <w:rPr>
                <w:sz w:val="24"/>
                <w:szCs w:val="24"/>
              </w:rPr>
            </w:pPr>
            <w:r>
              <w:rPr>
                <w:sz w:val="24"/>
                <w:szCs w:val="24"/>
              </w:rPr>
              <w:t>1.设备说明及使用说明书；</w:t>
            </w:r>
          </w:p>
          <w:p w14:paraId="18AC00B6">
            <w:pPr>
              <w:rPr>
                <w:sz w:val="24"/>
                <w:szCs w:val="24"/>
              </w:rPr>
            </w:pPr>
            <w:r>
              <w:rPr>
                <w:sz w:val="24"/>
                <w:szCs w:val="24"/>
              </w:rPr>
              <w:t>2.设备维修与保养手册；</w:t>
            </w:r>
          </w:p>
          <w:p w14:paraId="43E7E371">
            <w:pPr>
              <w:rPr>
                <w:rFonts w:hint="eastAsia" w:ascii="宋体" w:hAnsi="宋体" w:cs="Arial"/>
                <w:szCs w:val="21"/>
              </w:rPr>
            </w:pPr>
            <w:r>
              <w:rPr>
                <w:sz w:val="24"/>
                <w:szCs w:val="24"/>
              </w:rPr>
              <w:t>3.系统软件</w:t>
            </w:r>
          </w:p>
        </w:tc>
        <w:tc>
          <w:tcPr>
            <w:tcW w:w="1529" w:type="dxa"/>
            <w:tcBorders>
              <w:top w:val="single" w:color="auto" w:sz="4" w:space="0"/>
              <w:left w:val="single" w:color="auto" w:sz="4" w:space="0"/>
              <w:bottom w:val="single" w:color="auto" w:sz="4" w:space="0"/>
              <w:right w:val="single" w:color="auto" w:sz="4" w:space="0"/>
            </w:tcBorders>
            <w:vAlign w:val="center"/>
          </w:tcPr>
          <w:p w14:paraId="5AADC90D">
            <w:pPr>
              <w:rPr>
                <w:rFonts w:hint="eastAsia" w:ascii="宋体" w:hAnsi="宋体" w:cs="Arial"/>
                <w:szCs w:val="21"/>
              </w:rPr>
            </w:pPr>
            <w:r>
              <w:rPr>
                <w:sz w:val="24"/>
                <w:szCs w:val="24"/>
              </w:rPr>
              <w:t>1套/型号</w:t>
            </w:r>
          </w:p>
        </w:tc>
        <w:tc>
          <w:tcPr>
            <w:tcW w:w="1372" w:type="dxa"/>
            <w:tcBorders>
              <w:top w:val="single" w:color="auto" w:sz="4" w:space="0"/>
              <w:left w:val="single" w:color="auto" w:sz="4" w:space="0"/>
              <w:bottom w:val="single" w:color="auto" w:sz="4" w:space="0"/>
              <w:right w:val="single" w:color="auto" w:sz="4" w:space="0"/>
            </w:tcBorders>
            <w:vAlign w:val="center"/>
          </w:tcPr>
          <w:p w14:paraId="5806CC3E">
            <w:pPr>
              <w:rPr>
                <w:rFonts w:hint="eastAsia" w:ascii="宋体" w:hAnsi="宋体" w:cs="Arial"/>
                <w:szCs w:val="21"/>
              </w:rPr>
            </w:pPr>
            <w:r>
              <w:rPr>
                <w:sz w:val="24"/>
                <w:szCs w:val="24"/>
              </w:rPr>
              <w:t>交货时或设备交付使用之前</w:t>
            </w:r>
          </w:p>
        </w:tc>
        <w:tc>
          <w:tcPr>
            <w:tcW w:w="1145" w:type="dxa"/>
            <w:tcBorders>
              <w:top w:val="single" w:color="auto" w:sz="4" w:space="0"/>
              <w:left w:val="single" w:color="auto" w:sz="4" w:space="0"/>
              <w:bottom w:val="single" w:color="auto" w:sz="4" w:space="0"/>
              <w:right w:val="single" w:color="auto" w:sz="4" w:space="0"/>
            </w:tcBorders>
            <w:vAlign w:val="center"/>
          </w:tcPr>
          <w:p w14:paraId="17D63C2B">
            <w:pPr>
              <w:jc w:val="center"/>
              <w:rPr>
                <w:rFonts w:hint="eastAsia" w:ascii="宋体" w:hAnsi="宋体" w:cs="Arial"/>
                <w:szCs w:val="21"/>
              </w:rPr>
            </w:pPr>
          </w:p>
        </w:tc>
      </w:tr>
      <w:tr w14:paraId="726579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vAlign w:val="top"/>
          </w:tcPr>
          <w:p w14:paraId="491528F6">
            <w:pPr>
              <w:jc w:val="center"/>
              <w:rPr>
                <w:rFonts w:hint="eastAsia" w:ascii="宋体" w:hAnsi="宋体" w:cs="宋体"/>
                <w:szCs w:val="21"/>
              </w:rPr>
            </w:pPr>
            <w:r>
              <w:rPr>
                <w:sz w:val="24"/>
                <w:szCs w:val="24"/>
              </w:rPr>
              <w:t>2</w:t>
            </w:r>
          </w:p>
        </w:tc>
        <w:tc>
          <w:tcPr>
            <w:tcW w:w="2968" w:type="dxa"/>
            <w:tcBorders>
              <w:top w:val="single" w:color="auto" w:sz="4" w:space="0"/>
              <w:left w:val="single" w:color="auto" w:sz="4" w:space="0"/>
              <w:bottom w:val="single" w:color="auto" w:sz="4" w:space="0"/>
              <w:right w:val="single" w:color="auto" w:sz="4" w:space="0"/>
            </w:tcBorders>
            <w:vAlign w:val="top"/>
          </w:tcPr>
          <w:p w14:paraId="4BD13457">
            <w:pPr>
              <w:rPr>
                <w:rFonts w:hint="eastAsia" w:ascii="宋体" w:hAnsi="宋体" w:cs="Arial"/>
                <w:szCs w:val="21"/>
              </w:rPr>
            </w:pPr>
            <w:r>
              <w:rPr>
                <w:sz w:val="24"/>
                <w:szCs w:val="24"/>
              </w:rPr>
              <w:t>装箱清单及产品合格证</w:t>
            </w:r>
          </w:p>
        </w:tc>
        <w:tc>
          <w:tcPr>
            <w:tcW w:w="1529" w:type="dxa"/>
            <w:tcBorders>
              <w:top w:val="single" w:color="auto" w:sz="4" w:space="0"/>
              <w:left w:val="single" w:color="auto" w:sz="4" w:space="0"/>
              <w:bottom w:val="single" w:color="auto" w:sz="4" w:space="0"/>
              <w:right w:val="single" w:color="auto" w:sz="4" w:space="0"/>
            </w:tcBorders>
            <w:vAlign w:val="center"/>
          </w:tcPr>
          <w:p w14:paraId="33D1D8AE">
            <w:pPr>
              <w:rPr>
                <w:rFonts w:hint="eastAsia" w:ascii="宋体" w:hAnsi="宋体" w:cs="Arial"/>
                <w:szCs w:val="21"/>
              </w:rPr>
            </w:pPr>
            <w:r>
              <w:rPr>
                <w:sz w:val="24"/>
                <w:szCs w:val="24"/>
              </w:rPr>
              <w:t>1份/型号</w:t>
            </w:r>
          </w:p>
        </w:tc>
        <w:tc>
          <w:tcPr>
            <w:tcW w:w="1372" w:type="dxa"/>
            <w:tcBorders>
              <w:top w:val="single" w:color="auto" w:sz="4" w:space="0"/>
              <w:left w:val="single" w:color="auto" w:sz="4" w:space="0"/>
              <w:bottom w:val="single" w:color="auto" w:sz="4" w:space="0"/>
              <w:right w:val="single" w:color="auto" w:sz="4" w:space="0"/>
            </w:tcBorders>
            <w:vAlign w:val="center"/>
          </w:tcPr>
          <w:p w14:paraId="14725458">
            <w:pPr>
              <w:rPr>
                <w:rFonts w:hint="eastAsia" w:ascii="宋体" w:hAnsi="宋体" w:cs="Arial"/>
                <w:szCs w:val="21"/>
              </w:rPr>
            </w:pPr>
            <w:r>
              <w:rPr>
                <w:sz w:val="24"/>
                <w:szCs w:val="24"/>
              </w:rPr>
              <w:t>交货时</w:t>
            </w:r>
          </w:p>
        </w:tc>
        <w:tc>
          <w:tcPr>
            <w:tcW w:w="1145" w:type="dxa"/>
            <w:tcBorders>
              <w:top w:val="single" w:color="auto" w:sz="4" w:space="0"/>
              <w:left w:val="single" w:color="auto" w:sz="4" w:space="0"/>
              <w:bottom w:val="single" w:color="auto" w:sz="4" w:space="0"/>
              <w:right w:val="single" w:color="auto" w:sz="4" w:space="0"/>
            </w:tcBorders>
            <w:vAlign w:val="top"/>
          </w:tcPr>
          <w:p w14:paraId="011A723D">
            <w:pPr>
              <w:jc w:val="center"/>
              <w:rPr>
                <w:rFonts w:hint="eastAsia" w:ascii="宋体" w:hAnsi="宋体" w:cs="Arial"/>
                <w:szCs w:val="21"/>
              </w:rPr>
            </w:pPr>
          </w:p>
        </w:tc>
      </w:tr>
    </w:tbl>
    <w:p w14:paraId="621EA0EB">
      <w:pPr>
        <w:pStyle w:val="3"/>
        <w:rPr>
          <w:sz w:val="24"/>
          <w:szCs w:val="24"/>
        </w:rPr>
      </w:pPr>
      <w:r>
        <w:rPr>
          <w:rFonts w:hint="eastAsia"/>
          <w:sz w:val="24"/>
          <w:szCs w:val="24"/>
          <w:lang w:val="en-US" w:eastAsia="zh-CN"/>
        </w:rPr>
        <w:t>五、</w:t>
      </w:r>
      <w:r>
        <w:rPr>
          <w:sz w:val="24"/>
          <w:szCs w:val="24"/>
        </w:rPr>
        <w:t>安装、调试及培训</w:t>
      </w:r>
    </w:p>
    <w:p w14:paraId="5E110D69">
      <w:pPr>
        <w:pStyle w:val="3"/>
        <w:rPr>
          <w:sz w:val="24"/>
          <w:szCs w:val="24"/>
        </w:rPr>
      </w:pPr>
      <w:bookmarkStart w:id="134" w:name="_Toc213747804"/>
      <w:r>
        <w:rPr>
          <w:rFonts w:hint="eastAsia"/>
          <w:sz w:val="24"/>
          <w:szCs w:val="24"/>
          <w:lang w:val="en-US" w:eastAsia="zh-CN"/>
        </w:rPr>
        <w:t>5</w:t>
      </w:r>
      <w:r>
        <w:rPr>
          <w:sz w:val="24"/>
          <w:szCs w:val="24"/>
        </w:rPr>
        <w:t>.1设备安装条件要求</w:t>
      </w:r>
      <w:bookmarkEnd w:id="134"/>
    </w:p>
    <w:p w14:paraId="5E50974E">
      <w:pPr>
        <w:rPr>
          <w:sz w:val="24"/>
          <w:szCs w:val="24"/>
        </w:rPr>
      </w:pPr>
      <w:r>
        <w:rPr>
          <w:sz w:val="24"/>
          <w:szCs w:val="24"/>
        </w:rPr>
        <w:t>甲方提供在调试过程所要用到的水、电、气等配套资源。</w:t>
      </w:r>
    </w:p>
    <w:p w14:paraId="3378987B">
      <w:pPr>
        <w:ind w:left="426" w:leftChars="202" w:hanging="2"/>
        <w:rPr>
          <w:sz w:val="24"/>
          <w:szCs w:val="24"/>
        </w:rPr>
      </w:pPr>
      <w:r>
        <w:rPr>
          <w:sz w:val="24"/>
          <w:szCs w:val="24"/>
        </w:rPr>
        <w:t>（乙方是否到甲方现场进行设备安装由甲方决定）</w:t>
      </w:r>
    </w:p>
    <w:p w14:paraId="373682F5">
      <w:pPr>
        <w:ind w:left="426" w:leftChars="202" w:hanging="2"/>
        <w:rPr>
          <w:sz w:val="24"/>
          <w:szCs w:val="24"/>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2"/>
        <w:gridCol w:w="6345"/>
      </w:tblGrid>
      <w:tr w14:paraId="3C71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502" w:type="dxa"/>
            <w:shd w:val="clear" w:color="auto" w:fill="DDD9C4"/>
            <w:noWrap w:val="0"/>
            <w:vAlign w:val="center"/>
          </w:tcPr>
          <w:p w14:paraId="32BCABAA">
            <w:pPr>
              <w:spacing w:line="400" w:lineRule="exact"/>
              <w:jc w:val="center"/>
              <w:rPr>
                <w:b/>
                <w:sz w:val="24"/>
                <w:szCs w:val="24"/>
              </w:rPr>
            </w:pPr>
            <w:r>
              <w:rPr>
                <w:b/>
                <w:sz w:val="24"/>
                <w:szCs w:val="24"/>
              </w:rPr>
              <w:t>规格</w:t>
            </w:r>
          </w:p>
        </w:tc>
        <w:tc>
          <w:tcPr>
            <w:tcW w:w="6345" w:type="dxa"/>
            <w:shd w:val="clear" w:color="auto" w:fill="DDD9C4"/>
            <w:noWrap w:val="0"/>
            <w:vAlign w:val="center"/>
          </w:tcPr>
          <w:p w14:paraId="71338E3B">
            <w:pPr>
              <w:spacing w:line="400" w:lineRule="exact"/>
              <w:jc w:val="center"/>
              <w:rPr>
                <w:b/>
                <w:sz w:val="24"/>
                <w:szCs w:val="24"/>
              </w:rPr>
            </w:pPr>
            <w:r>
              <w:rPr>
                <w:b/>
                <w:sz w:val="24"/>
                <w:szCs w:val="24"/>
              </w:rPr>
              <w:t>参数</w:t>
            </w:r>
          </w:p>
        </w:tc>
      </w:tr>
      <w:tr w14:paraId="4366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3A8D57DD">
            <w:pPr>
              <w:widowControl/>
              <w:spacing w:line="400" w:lineRule="exact"/>
              <w:jc w:val="center"/>
              <w:rPr>
                <w:kern w:val="0"/>
                <w:sz w:val="24"/>
                <w:szCs w:val="24"/>
              </w:rPr>
            </w:pPr>
            <w:r>
              <w:rPr>
                <w:sz w:val="24"/>
                <w:szCs w:val="24"/>
              </w:rPr>
              <w:t>设备使用环境要求</w:t>
            </w:r>
          </w:p>
        </w:tc>
        <w:tc>
          <w:tcPr>
            <w:tcW w:w="6345" w:type="dxa"/>
            <w:noWrap w:val="0"/>
            <w:vAlign w:val="center"/>
          </w:tcPr>
          <w:p w14:paraId="76FCFFC6">
            <w:pPr>
              <w:spacing w:line="400" w:lineRule="exact"/>
              <w:rPr>
                <w:kern w:val="0"/>
                <w:sz w:val="24"/>
                <w:szCs w:val="24"/>
              </w:rPr>
            </w:pPr>
            <w:r>
              <w:rPr>
                <w:sz w:val="24"/>
                <w:szCs w:val="24"/>
              </w:rPr>
              <w:t>温度5~40℃</w:t>
            </w:r>
          </w:p>
        </w:tc>
      </w:tr>
      <w:tr w14:paraId="2A69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6E036498">
            <w:pPr>
              <w:spacing w:line="400" w:lineRule="exact"/>
              <w:jc w:val="center"/>
              <w:rPr>
                <w:sz w:val="24"/>
                <w:szCs w:val="24"/>
              </w:rPr>
            </w:pPr>
            <w:r>
              <w:rPr>
                <w:sz w:val="24"/>
                <w:szCs w:val="24"/>
              </w:rPr>
              <w:t>电源</w:t>
            </w:r>
          </w:p>
        </w:tc>
        <w:tc>
          <w:tcPr>
            <w:tcW w:w="6345" w:type="dxa"/>
            <w:noWrap w:val="0"/>
            <w:vAlign w:val="center"/>
          </w:tcPr>
          <w:p w14:paraId="32772C91">
            <w:pPr>
              <w:spacing w:line="400" w:lineRule="exact"/>
              <w:rPr>
                <w:sz w:val="24"/>
                <w:szCs w:val="24"/>
              </w:rPr>
            </w:pPr>
            <w:r>
              <w:rPr>
                <w:sz w:val="24"/>
                <w:szCs w:val="24"/>
              </w:rPr>
              <w:t>380V//50H</w:t>
            </w:r>
            <w:r>
              <w:rPr>
                <w:rFonts w:hint="eastAsia"/>
                <w:sz w:val="24"/>
                <w:szCs w:val="24"/>
              </w:rPr>
              <w:t>z</w:t>
            </w:r>
            <w:r>
              <w:rPr>
                <w:sz w:val="24"/>
                <w:szCs w:val="24"/>
              </w:rPr>
              <w:t xml:space="preserve">/两相/三线制；总功率需求40 </w:t>
            </w:r>
            <w:r>
              <w:rPr>
                <w:rFonts w:hint="eastAsia"/>
                <w:sz w:val="24"/>
                <w:szCs w:val="24"/>
              </w:rPr>
              <w:t>kW</w:t>
            </w:r>
          </w:p>
        </w:tc>
      </w:tr>
      <w:tr w14:paraId="695E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1FCD5EF6">
            <w:pPr>
              <w:spacing w:line="400" w:lineRule="exact"/>
              <w:jc w:val="center"/>
              <w:rPr>
                <w:sz w:val="24"/>
                <w:szCs w:val="24"/>
              </w:rPr>
            </w:pPr>
            <w:r>
              <w:rPr>
                <w:sz w:val="24"/>
                <w:szCs w:val="24"/>
              </w:rPr>
              <w:t>水源</w:t>
            </w:r>
          </w:p>
        </w:tc>
        <w:tc>
          <w:tcPr>
            <w:tcW w:w="6345" w:type="dxa"/>
            <w:noWrap w:val="0"/>
            <w:vAlign w:val="center"/>
          </w:tcPr>
          <w:p w14:paraId="672B321D">
            <w:pPr>
              <w:spacing w:line="400" w:lineRule="exact"/>
              <w:rPr>
                <w:sz w:val="24"/>
                <w:szCs w:val="24"/>
              </w:rPr>
            </w:pPr>
            <w:r>
              <w:rPr>
                <w:sz w:val="24"/>
                <w:szCs w:val="24"/>
              </w:rPr>
              <w:t>无</w:t>
            </w:r>
          </w:p>
        </w:tc>
      </w:tr>
      <w:tr w14:paraId="3542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69642F8F">
            <w:pPr>
              <w:spacing w:line="400" w:lineRule="exact"/>
              <w:jc w:val="center"/>
              <w:rPr>
                <w:sz w:val="24"/>
                <w:szCs w:val="24"/>
              </w:rPr>
            </w:pPr>
            <w:r>
              <w:rPr>
                <w:sz w:val="24"/>
                <w:szCs w:val="24"/>
              </w:rPr>
              <w:t>真空</w:t>
            </w:r>
          </w:p>
        </w:tc>
        <w:tc>
          <w:tcPr>
            <w:tcW w:w="6345" w:type="dxa"/>
            <w:noWrap w:val="0"/>
            <w:vAlign w:val="center"/>
          </w:tcPr>
          <w:p w14:paraId="5482F7A6">
            <w:pPr>
              <w:spacing w:line="400" w:lineRule="exact"/>
              <w:rPr>
                <w:sz w:val="24"/>
                <w:szCs w:val="24"/>
              </w:rPr>
            </w:pPr>
            <w:r>
              <w:rPr>
                <w:sz w:val="24"/>
                <w:szCs w:val="24"/>
              </w:rPr>
              <w:t>设备配套真空泵，甲方无需提供外部真空源</w:t>
            </w:r>
          </w:p>
        </w:tc>
      </w:tr>
      <w:tr w14:paraId="52A8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4A2283B3">
            <w:pPr>
              <w:spacing w:line="400" w:lineRule="exact"/>
              <w:jc w:val="center"/>
              <w:rPr>
                <w:sz w:val="24"/>
                <w:szCs w:val="24"/>
              </w:rPr>
            </w:pPr>
            <w:r>
              <w:rPr>
                <w:sz w:val="24"/>
                <w:szCs w:val="24"/>
              </w:rPr>
              <w:t>压缩空气</w:t>
            </w:r>
          </w:p>
        </w:tc>
        <w:tc>
          <w:tcPr>
            <w:tcW w:w="6345" w:type="dxa"/>
            <w:noWrap w:val="0"/>
            <w:vAlign w:val="center"/>
          </w:tcPr>
          <w:p w14:paraId="24114C58">
            <w:pPr>
              <w:spacing w:line="400" w:lineRule="exact"/>
              <w:rPr>
                <w:sz w:val="24"/>
                <w:szCs w:val="24"/>
              </w:rPr>
            </w:pPr>
            <w:r>
              <w:rPr>
                <w:sz w:val="24"/>
                <w:szCs w:val="24"/>
              </w:rPr>
              <w:t>无</w:t>
            </w:r>
          </w:p>
        </w:tc>
      </w:tr>
      <w:tr w14:paraId="7FF3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2" w:type="dxa"/>
            <w:noWrap w:val="0"/>
            <w:vAlign w:val="center"/>
          </w:tcPr>
          <w:p w14:paraId="7FF3C184">
            <w:pPr>
              <w:spacing w:line="400" w:lineRule="exact"/>
              <w:jc w:val="center"/>
              <w:rPr>
                <w:sz w:val="24"/>
                <w:szCs w:val="24"/>
              </w:rPr>
            </w:pPr>
            <w:r>
              <w:rPr>
                <w:sz w:val="24"/>
                <w:szCs w:val="24"/>
              </w:rPr>
              <w:t>氮气</w:t>
            </w:r>
          </w:p>
        </w:tc>
        <w:tc>
          <w:tcPr>
            <w:tcW w:w="6345" w:type="dxa"/>
            <w:noWrap w:val="0"/>
            <w:vAlign w:val="center"/>
          </w:tcPr>
          <w:p w14:paraId="7FF3C185">
            <w:pPr>
              <w:spacing w:line="400" w:lineRule="exact"/>
              <w:rPr>
                <w:sz w:val="24"/>
                <w:szCs w:val="24"/>
              </w:rPr>
            </w:pPr>
            <w:r>
              <w:rPr>
                <w:sz w:val="24"/>
                <w:szCs w:val="24"/>
              </w:rPr>
              <w:t>纯度≥99.99%，供气压力0.4～0.8MPa；由甲方提供氮气源，乙方负责设备侧接入组件</w:t>
            </w:r>
          </w:p>
        </w:tc>
      </w:tr>
      <w:tr w14:paraId="7FD9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2" w:type="dxa"/>
            <w:noWrap w:val="0"/>
            <w:vAlign w:val="center"/>
          </w:tcPr>
          <w:p w14:paraId="7DA7046F">
            <w:pPr>
              <w:jc w:val="center"/>
              <w:rPr>
                <w:sz w:val="24"/>
                <w:szCs w:val="24"/>
              </w:rPr>
            </w:pPr>
            <w:r>
              <w:rPr>
                <w:sz w:val="24"/>
                <w:szCs w:val="24"/>
              </w:rPr>
              <w:t>地面要求及承重要求</w:t>
            </w:r>
          </w:p>
        </w:tc>
        <w:tc>
          <w:tcPr>
            <w:tcW w:w="6345" w:type="dxa"/>
            <w:noWrap w:val="0"/>
            <w:vAlign w:val="center"/>
          </w:tcPr>
          <w:p w14:paraId="3746EC71">
            <w:pPr>
              <w:rPr>
                <w:sz w:val="24"/>
                <w:szCs w:val="24"/>
              </w:rPr>
            </w:pPr>
            <w:r>
              <w:rPr>
                <w:sz w:val="24"/>
                <w:szCs w:val="24"/>
              </w:rPr>
              <w:t xml:space="preserve">混凝土地面，≥600 </w:t>
            </w:r>
            <w:r>
              <w:rPr>
                <w:rFonts w:hint="eastAsia"/>
                <w:sz w:val="24"/>
                <w:szCs w:val="24"/>
              </w:rPr>
              <w:t>kg</w:t>
            </w:r>
            <w:r>
              <w:rPr>
                <w:sz w:val="24"/>
                <w:szCs w:val="24"/>
              </w:rPr>
              <w:t>，无地面平整度要求</w:t>
            </w:r>
          </w:p>
        </w:tc>
      </w:tr>
      <w:tr w14:paraId="2459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2" w:type="dxa"/>
            <w:noWrap w:val="0"/>
            <w:vAlign w:val="center"/>
          </w:tcPr>
          <w:p w14:paraId="6B7C5BEB">
            <w:pPr>
              <w:jc w:val="center"/>
              <w:rPr>
                <w:sz w:val="24"/>
                <w:szCs w:val="24"/>
              </w:rPr>
            </w:pPr>
            <w:r>
              <w:rPr>
                <w:sz w:val="24"/>
                <w:szCs w:val="24"/>
              </w:rPr>
              <w:t>网络要求</w:t>
            </w:r>
          </w:p>
        </w:tc>
        <w:tc>
          <w:tcPr>
            <w:tcW w:w="6345" w:type="dxa"/>
            <w:noWrap w:val="0"/>
            <w:vAlign w:val="center"/>
          </w:tcPr>
          <w:p w14:paraId="73F20A67">
            <w:pPr>
              <w:rPr>
                <w:sz w:val="24"/>
                <w:szCs w:val="24"/>
              </w:rPr>
            </w:pPr>
            <w:r>
              <w:rPr>
                <w:sz w:val="24"/>
                <w:szCs w:val="24"/>
              </w:rPr>
              <w:t>预留MES功能接口</w:t>
            </w:r>
          </w:p>
        </w:tc>
      </w:tr>
      <w:tr w14:paraId="20CF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502" w:type="dxa"/>
            <w:noWrap w:val="0"/>
            <w:vAlign w:val="center"/>
          </w:tcPr>
          <w:p w14:paraId="0F56E7FC">
            <w:pPr>
              <w:jc w:val="center"/>
              <w:rPr>
                <w:sz w:val="24"/>
                <w:szCs w:val="24"/>
              </w:rPr>
            </w:pPr>
            <w:r>
              <w:rPr>
                <w:sz w:val="24"/>
                <w:szCs w:val="24"/>
              </w:rPr>
              <w:t>烟、尘、废气、废水处理厂房施工要求</w:t>
            </w:r>
          </w:p>
        </w:tc>
        <w:tc>
          <w:tcPr>
            <w:tcW w:w="6345" w:type="dxa"/>
            <w:noWrap w:val="0"/>
            <w:vAlign w:val="center"/>
          </w:tcPr>
          <w:p w14:paraId="3FBBB7A6">
            <w:pPr>
              <w:rPr>
                <w:sz w:val="24"/>
                <w:szCs w:val="24"/>
              </w:rPr>
            </w:pPr>
            <w:r>
              <w:rPr>
                <w:sz w:val="24"/>
                <w:szCs w:val="24"/>
              </w:rPr>
              <w:t>设备排气接口由乙方提供；甲方协助接至厂房排风或其他安全排放点</w:t>
            </w:r>
          </w:p>
        </w:tc>
      </w:tr>
      <w:tr w14:paraId="0EAE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502" w:type="dxa"/>
            <w:noWrap w:val="0"/>
            <w:vAlign w:val="center"/>
          </w:tcPr>
          <w:p w14:paraId="70362AA3">
            <w:pPr>
              <w:jc w:val="center"/>
              <w:rPr>
                <w:sz w:val="24"/>
                <w:szCs w:val="24"/>
              </w:rPr>
            </w:pPr>
            <w:r>
              <w:rPr>
                <w:sz w:val="24"/>
                <w:szCs w:val="24"/>
              </w:rPr>
              <w:t>设备进出通道、门尺寸要求</w:t>
            </w:r>
          </w:p>
        </w:tc>
        <w:tc>
          <w:tcPr>
            <w:tcW w:w="6345" w:type="dxa"/>
            <w:noWrap w:val="0"/>
            <w:vAlign w:val="center"/>
          </w:tcPr>
          <w:p w14:paraId="50EFD66D">
            <w:pPr>
              <w:rPr>
                <w:sz w:val="24"/>
                <w:szCs w:val="24"/>
              </w:rPr>
            </w:pPr>
            <w:r>
              <w:rPr>
                <w:sz w:val="24"/>
                <w:szCs w:val="24"/>
              </w:rPr>
              <w:t>通道宽</w:t>
            </w:r>
            <w:r>
              <w:rPr>
                <w:rFonts w:hint="eastAsia"/>
                <w:sz w:val="24"/>
                <w:szCs w:val="24"/>
                <w:lang w:val="en-US" w:eastAsia="zh-CN"/>
              </w:rPr>
              <w:t>度</w:t>
            </w:r>
            <w:r>
              <w:rPr>
                <w:sz w:val="24"/>
                <w:szCs w:val="24"/>
              </w:rPr>
              <w:t>大于1.5M，高度大于2.0M；门宽1.5M，高2.0M</w:t>
            </w:r>
          </w:p>
        </w:tc>
      </w:tr>
    </w:tbl>
    <w:p w14:paraId="44552EE2">
      <w:pPr>
        <w:pStyle w:val="4"/>
        <w:keepNext w:val="0"/>
        <w:keepLines w:val="0"/>
        <w:rPr>
          <w:rFonts w:ascii="Times New Roman" w:hAnsi="Times New Roman"/>
          <w:i w:val="0"/>
          <w:iCs w:val="0"/>
          <w:sz w:val="24"/>
          <w:szCs w:val="24"/>
        </w:rPr>
      </w:pPr>
      <w:bookmarkStart w:id="135" w:name="_Toc213747805"/>
      <w:r>
        <w:rPr>
          <w:rFonts w:hint="eastAsia" w:ascii="Times New Roman" w:hAnsi="Times New Roman"/>
          <w:i w:val="0"/>
          <w:iCs w:val="0"/>
          <w:sz w:val="24"/>
          <w:szCs w:val="24"/>
          <w:lang w:val="en-US" w:eastAsia="zh-CN"/>
        </w:rPr>
        <w:t>5</w:t>
      </w:r>
      <w:r>
        <w:rPr>
          <w:rFonts w:ascii="Times New Roman" w:hAnsi="Times New Roman"/>
          <w:i w:val="0"/>
          <w:iCs w:val="0"/>
          <w:sz w:val="24"/>
          <w:szCs w:val="24"/>
        </w:rPr>
        <w:t>.2设备安装规范与安全要求</w:t>
      </w:r>
      <w:bookmarkEnd w:id="135"/>
    </w:p>
    <w:p w14:paraId="38F161C6">
      <w:pPr>
        <w:rPr>
          <w:sz w:val="24"/>
          <w:szCs w:val="24"/>
        </w:rPr>
      </w:pPr>
      <w:r>
        <w:rPr>
          <w:sz w:val="24"/>
          <w:szCs w:val="24"/>
        </w:rPr>
        <w:t>设备应可靠接地；氮气供气应设置减压和防倒吸措施，排气管路应接至安全排放点。真空泵、氮气进气及排气阀的联锁检查纳入安装调试和验收。</w:t>
      </w:r>
    </w:p>
    <w:p w14:paraId="679B8F37">
      <w:pPr>
        <w:pStyle w:val="4"/>
        <w:rPr>
          <w:rFonts w:ascii="Times New Roman" w:hAnsi="Times New Roman"/>
          <w:i w:val="0"/>
          <w:iCs w:val="0"/>
          <w:sz w:val="24"/>
          <w:szCs w:val="24"/>
        </w:rPr>
      </w:pPr>
      <w:bookmarkStart w:id="136" w:name="_Toc213747806"/>
      <w:r>
        <w:rPr>
          <w:rFonts w:hint="eastAsia" w:ascii="Times New Roman" w:hAnsi="Times New Roman"/>
          <w:i w:val="0"/>
          <w:iCs w:val="0"/>
          <w:sz w:val="24"/>
          <w:szCs w:val="24"/>
          <w:lang w:val="en-US" w:eastAsia="zh-CN"/>
        </w:rPr>
        <w:t>5</w:t>
      </w:r>
      <w:r>
        <w:rPr>
          <w:rFonts w:ascii="Times New Roman" w:hAnsi="Times New Roman"/>
          <w:i w:val="0"/>
          <w:iCs w:val="0"/>
          <w:sz w:val="24"/>
          <w:szCs w:val="24"/>
        </w:rPr>
        <w:t>.3设备安装调试与培训要求</w:t>
      </w:r>
      <w:bookmarkEnd w:id="136"/>
    </w:p>
    <w:p w14:paraId="40B9A949">
      <w:pPr>
        <w:spacing w:line="360" w:lineRule="auto"/>
        <w:ind w:left="660" w:leftChars="200" w:hanging="240" w:hangingChars="100"/>
        <w:rPr>
          <w:sz w:val="24"/>
          <w:szCs w:val="24"/>
        </w:rPr>
      </w:pPr>
      <w:r>
        <w:rPr>
          <w:sz w:val="24"/>
          <w:szCs w:val="24"/>
        </w:rPr>
        <w:t>1. 设备到货交付时，如发现设备品牌、规格、型号、外观等与签订的技术协议、合同不一致时，甲方可拒绝收货，后果由乙方承担，具体参照双方签订的采购合同执行。</w:t>
      </w:r>
    </w:p>
    <w:p w14:paraId="1C03BA20">
      <w:pPr>
        <w:spacing w:line="360" w:lineRule="auto"/>
        <w:ind w:left="660" w:leftChars="200" w:hanging="240" w:hangingChars="100"/>
        <w:rPr>
          <w:sz w:val="24"/>
          <w:szCs w:val="24"/>
        </w:rPr>
      </w:pPr>
      <w:r>
        <w:rPr>
          <w:sz w:val="24"/>
          <w:szCs w:val="24"/>
        </w:rPr>
        <w:t>2. 货到后</w:t>
      </w:r>
      <w:r>
        <w:rPr>
          <w:sz w:val="24"/>
          <w:szCs w:val="24"/>
          <w:u w:val="single"/>
        </w:rPr>
        <w:t xml:space="preserve"> 7  </w:t>
      </w:r>
      <w:r>
        <w:rPr>
          <w:sz w:val="24"/>
          <w:szCs w:val="24"/>
        </w:rPr>
        <w:t>日内，乙方完成设备安装调试与培训。安装调试与培训未按时完成，按交付逾期处理，具体参照双方签订的采购合同执行。培训计划、培训记录作为设备正式验收的依据之一。</w:t>
      </w:r>
    </w:p>
    <w:p w14:paraId="06166A60">
      <w:pPr>
        <w:spacing w:line="360" w:lineRule="auto"/>
        <w:ind w:left="660" w:leftChars="200" w:hanging="240" w:hangingChars="100"/>
        <w:rPr>
          <w:kern w:val="0"/>
          <w:sz w:val="24"/>
          <w:szCs w:val="24"/>
        </w:rPr>
      </w:pPr>
      <w:r>
        <w:rPr>
          <w:sz w:val="24"/>
          <w:szCs w:val="24"/>
        </w:rPr>
        <w:t>3. 乙方免费提供设备操作、安全、保养、维修等技术培训服务及对应书面化的教材资料及指导资料，</w:t>
      </w:r>
      <w:r>
        <w:rPr>
          <w:kern w:val="0"/>
          <w:sz w:val="24"/>
          <w:szCs w:val="24"/>
        </w:rPr>
        <w:t>达到甲方操作人员能正常操作，甲方保养、维修人员能对一般性问题进行处理。乙方在甲方设备安装调试合格时提供设备相应说明书、操作手册、保养、维修指导书等资料。</w:t>
      </w:r>
    </w:p>
    <w:p w14:paraId="64C2C78D">
      <w:pPr>
        <w:pStyle w:val="3"/>
        <w:rPr>
          <w:sz w:val="24"/>
          <w:szCs w:val="24"/>
        </w:rPr>
      </w:pPr>
      <w:bookmarkStart w:id="137" w:name="_Toc532309630"/>
      <w:bookmarkStart w:id="138" w:name="_Toc213747807"/>
      <w:r>
        <w:rPr>
          <w:rFonts w:hint="eastAsia"/>
          <w:sz w:val="24"/>
          <w:szCs w:val="24"/>
          <w:lang w:val="en-US" w:eastAsia="zh-CN"/>
        </w:rPr>
        <w:t>六</w:t>
      </w:r>
      <w:r>
        <w:rPr>
          <w:rFonts w:hint="eastAsia"/>
          <w:sz w:val="24"/>
          <w:szCs w:val="24"/>
          <w:lang w:eastAsia="zh-CN"/>
        </w:rPr>
        <w:t>、</w:t>
      </w:r>
      <w:r>
        <w:rPr>
          <w:sz w:val="24"/>
          <w:szCs w:val="24"/>
        </w:rPr>
        <w:t>设备验收</w:t>
      </w:r>
      <w:bookmarkEnd w:id="137"/>
      <w:bookmarkEnd w:id="138"/>
    </w:p>
    <w:p w14:paraId="614DEF4D">
      <w:pPr>
        <w:pStyle w:val="4"/>
        <w:rPr>
          <w:rFonts w:ascii="Times New Roman" w:hAnsi="Times New Roman"/>
          <w:i w:val="0"/>
          <w:iCs w:val="0"/>
          <w:sz w:val="24"/>
          <w:szCs w:val="24"/>
        </w:rPr>
      </w:pPr>
      <w:bookmarkStart w:id="139" w:name="_Toc213747808"/>
      <w:r>
        <w:rPr>
          <w:rFonts w:hint="eastAsia" w:ascii="Times New Roman" w:hAnsi="Times New Roman"/>
          <w:i w:val="0"/>
          <w:iCs w:val="0"/>
          <w:sz w:val="24"/>
          <w:szCs w:val="24"/>
          <w:lang w:val="en-US" w:eastAsia="zh-CN"/>
        </w:rPr>
        <w:t>6</w:t>
      </w:r>
      <w:r>
        <w:rPr>
          <w:rFonts w:ascii="Times New Roman" w:hAnsi="Times New Roman"/>
          <w:i w:val="0"/>
          <w:iCs w:val="0"/>
          <w:sz w:val="24"/>
          <w:szCs w:val="24"/>
        </w:rPr>
        <w:t>.1设备验收</w:t>
      </w:r>
      <w:bookmarkEnd w:id="139"/>
    </w:p>
    <w:p w14:paraId="094E99A5">
      <w:pPr>
        <w:spacing w:line="360" w:lineRule="auto"/>
        <w:ind w:left="424" w:leftChars="202"/>
        <w:rPr>
          <w:sz w:val="24"/>
          <w:szCs w:val="24"/>
        </w:rPr>
      </w:pPr>
      <w:r>
        <w:rPr>
          <w:sz w:val="24"/>
          <w:szCs w:val="24"/>
        </w:rPr>
        <w:t>标准设备是否进行验收由甲方确定，如需进行验收，要求如下：</w:t>
      </w:r>
    </w:p>
    <w:p w14:paraId="2871BCB3">
      <w:pPr>
        <w:pStyle w:val="112"/>
        <w:widowControl w:val="0"/>
        <w:spacing w:line="360" w:lineRule="auto"/>
        <w:ind w:left="0" w:leftChars="0" w:firstLine="480" w:firstLineChars="200"/>
        <w:rPr>
          <w:rFonts w:ascii="Times New Roman" w:cs="Times New Roman"/>
          <w:szCs w:val="24"/>
        </w:rPr>
      </w:pPr>
      <w:bookmarkStart w:id="140" w:name="_Toc490833021"/>
      <w:bookmarkStart w:id="141" w:name="_Toc490832187"/>
      <w:bookmarkStart w:id="142" w:name="_Toc490832398"/>
      <w:r>
        <w:rPr>
          <w:rFonts w:ascii="Times New Roman" w:cs="Times New Roman"/>
          <w:szCs w:val="24"/>
        </w:rPr>
        <w:t>1. 设备完好，可正常运行，各项指标符合本协议技术要求和功能要求。</w:t>
      </w:r>
      <w:bookmarkEnd w:id="140"/>
      <w:bookmarkEnd w:id="141"/>
      <w:bookmarkEnd w:id="142"/>
    </w:p>
    <w:p w14:paraId="309DF4F0">
      <w:pPr>
        <w:pStyle w:val="112"/>
        <w:widowControl w:val="0"/>
        <w:spacing w:line="360" w:lineRule="auto"/>
        <w:ind w:left="0" w:leftChars="0" w:firstLine="480" w:firstLineChars="200"/>
        <w:rPr>
          <w:rFonts w:ascii="Times New Roman" w:cs="Times New Roman"/>
          <w:szCs w:val="24"/>
        </w:rPr>
      </w:pPr>
      <w:r>
        <w:rPr>
          <w:rFonts w:ascii="Times New Roman" w:cs="Times New Roman"/>
          <w:szCs w:val="24"/>
        </w:rPr>
        <w:t>2. 仪器交货期：根据《设备采购合同》要求执行。</w:t>
      </w:r>
    </w:p>
    <w:p w14:paraId="730A4BB6">
      <w:pPr>
        <w:pStyle w:val="112"/>
        <w:widowControl w:val="0"/>
        <w:spacing w:line="360" w:lineRule="auto"/>
        <w:ind w:left="0" w:leftChars="0" w:firstLine="480" w:firstLineChars="200"/>
        <w:rPr>
          <w:rFonts w:ascii="Times New Roman" w:cs="Times New Roman"/>
          <w:szCs w:val="24"/>
        </w:rPr>
      </w:pPr>
      <w:r>
        <w:rPr>
          <w:rFonts w:ascii="Times New Roman" w:cs="Times New Roman"/>
          <w:szCs w:val="24"/>
        </w:rPr>
        <w:t>3. 验收时间：设备调试完成后。</w:t>
      </w:r>
    </w:p>
    <w:p w14:paraId="4911BE5F">
      <w:pPr>
        <w:pStyle w:val="112"/>
        <w:widowControl w:val="0"/>
        <w:spacing w:line="360" w:lineRule="auto"/>
        <w:ind w:left="0" w:leftChars="0" w:firstLine="480" w:firstLineChars="200"/>
        <w:rPr>
          <w:rFonts w:ascii="Times New Roman" w:cs="Times New Roman"/>
          <w:szCs w:val="24"/>
        </w:rPr>
      </w:pPr>
      <w:r>
        <w:rPr>
          <w:rFonts w:ascii="Times New Roman" w:cs="Times New Roman"/>
          <w:szCs w:val="24"/>
        </w:rPr>
        <w:t>4. 验收结论验收结果以验收报告为准。</w:t>
      </w:r>
    </w:p>
    <w:p w14:paraId="32E297C0">
      <w:pPr>
        <w:pStyle w:val="112"/>
        <w:widowControl w:val="0"/>
        <w:spacing w:line="360" w:lineRule="auto"/>
        <w:ind w:left="748" w:leftChars="202" w:hanging="324" w:hangingChars="135"/>
        <w:rPr>
          <w:rFonts w:ascii="Times New Roman" w:cs="Times New Roman"/>
          <w:szCs w:val="24"/>
        </w:rPr>
      </w:pPr>
      <w:r>
        <w:rPr>
          <w:rFonts w:ascii="Times New Roman" w:cs="Times New Roman"/>
          <w:szCs w:val="24"/>
        </w:rPr>
        <w:t>5. 验收合格：甲方根据本协议列举技术要求和功能要求指标验收，完全满足本协议技术要求和功能要求即为合格。</w:t>
      </w:r>
    </w:p>
    <w:p w14:paraId="0F0B7335">
      <w:pPr>
        <w:pStyle w:val="112"/>
        <w:widowControl w:val="0"/>
        <w:spacing w:line="360" w:lineRule="auto"/>
        <w:ind w:left="748" w:leftChars="202" w:hanging="324" w:hangingChars="135"/>
        <w:rPr>
          <w:rFonts w:ascii="Times New Roman" w:cs="Times New Roman"/>
          <w:szCs w:val="24"/>
        </w:rPr>
      </w:pPr>
      <w:r>
        <w:rPr>
          <w:rFonts w:ascii="Times New Roman" w:cs="Times New Roman"/>
          <w:szCs w:val="24"/>
        </w:rPr>
        <w:t>6. 验收不合格：双方确认验收方法正确，验收仪器无误；设备无法满足本协议列举技术和功能要求，并调试无果（调试超</w:t>
      </w:r>
      <w:r>
        <w:rPr>
          <w:rFonts w:ascii="Times New Roman" w:cs="Times New Roman"/>
          <w:szCs w:val="24"/>
          <w:u w:val="single"/>
        </w:rPr>
        <w:t>7</w:t>
      </w:r>
      <w:r>
        <w:rPr>
          <w:rFonts w:ascii="Times New Roman" w:cs="Times New Roman"/>
          <w:szCs w:val="24"/>
        </w:rPr>
        <w:t>天），甲方有权要求换货或无偿退货处理。</w:t>
      </w:r>
    </w:p>
    <w:p w14:paraId="5C2462DE">
      <w:pPr>
        <w:pStyle w:val="4"/>
        <w:rPr>
          <w:rFonts w:ascii="Times New Roman" w:hAnsi="Times New Roman"/>
          <w:i w:val="0"/>
          <w:iCs w:val="0"/>
          <w:sz w:val="24"/>
          <w:szCs w:val="24"/>
        </w:rPr>
      </w:pPr>
      <w:bookmarkStart w:id="143" w:name="_Toc213747809"/>
      <w:r>
        <w:rPr>
          <w:rFonts w:hint="eastAsia" w:ascii="Times New Roman" w:hAnsi="Times New Roman"/>
          <w:i w:val="0"/>
          <w:iCs w:val="0"/>
          <w:sz w:val="24"/>
          <w:szCs w:val="24"/>
          <w:lang w:val="en-US" w:eastAsia="zh-CN"/>
        </w:rPr>
        <w:t>6</w:t>
      </w:r>
      <w:r>
        <w:rPr>
          <w:rFonts w:ascii="Times New Roman" w:hAnsi="Times New Roman"/>
          <w:i w:val="0"/>
          <w:iCs w:val="0"/>
          <w:sz w:val="24"/>
          <w:szCs w:val="24"/>
        </w:rPr>
        <w:t>.2设备不达标处理</w:t>
      </w:r>
      <w:bookmarkEnd w:id="143"/>
    </w:p>
    <w:p w14:paraId="086B7B8A">
      <w:pPr>
        <w:spacing w:line="360" w:lineRule="auto"/>
        <w:ind w:left="420" w:leftChars="200"/>
        <w:rPr>
          <w:sz w:val="24"/>
          <w:szCs w:val="24"/>
        </w:rPr>
      </w:pPr>
      <w:r>
        <w:rPr>
          <w:sz w:val="24"/>
          <w:szCs w:val="24"/>
        </w:rPr>
        <w:t>1. 如验收确认设备未完全达到技术协议里各项要求，甲方可选择无条件退货、更换、或总价折扣后有条件接收。</w:t>
      </w:r>
    </w:p>
    <w:p w14:paraId="57DFF1E8">
      <w:pPr>
        <w:spacing w:line="360" w:lineRule="auto"/>
        <w:ind w:left="424" w:leftChars="202" w:firstLine="2"/>
        <w:rPr>
          <w:sz w:val="24"/>
          <w:szCs w:val="24"/>
        </w:rPr>
      </w:pPr>
      <w:r>
        <w:rPr>
          <w:sz w:val="24"/>
          <w:szCs w:val="24"/>
        </w:rPr>
        <w:t>2. 设备验收不合格时，甲方有权拒绝接受货物或退货，给甲方造成损害的还应承担赔偿责任。</w:t>
      </w:r>
      <w:bookmarkStart w:id="144" w:name="_Toc532309631"/>
    </w:p>
    <w:p w14:paraId="68E12444">
      <w:pPr>
        <w:spacing w:line="360" w:lineRule="auto"/>
        <w:rPr>
          <w:sz w:val="24"/>
          <w:szCs w:val="24"/>
        </w:rPr>
      </w:pPr>
      <w:r>
        <w:rPr>
          <w:sz w:val="24"/>
          <w:szCs w:val="24"/>
        </w:rPr>
        <w:t xml:space="preserve">    3. 本协议里设备验收条款如与设备采购合同有冲突时，以设备采购合同为准。</w:t>
      </w:r>
    </w:p>
    <w:p w14:paraId="353ABE53">
      <w:pPr>
        <w:pStyle w:val="3"/>
        <w:rPr>
          <w:sz w:val="24"/>
          <w:szCs w:val="24"/>
        </w:rPr>
      </w:pPr>
      <w:bookmarkStart w:id="145" w:name="_Toc213747810"/>
      <w:r>
        <w:rPr>
          <w:rFonts w:hint="eastAsia"/>
          <w:sz w:val="24"/>
          <w:szCs w:val="24"/>
          <w:lang w:val="en-US" w:eastAsia="zh-CN"/>
        </w:rPr>
        <w:t>七、</w:t>
      </w:r>
      <w:r>
        <w:rPr>
          <w:sz w:val="24"/>
          <w:szCs w:val="24"/>
        </w:rPr>
        <w:t>售后服务</w:t>
      </w:r>
      <w:bookmarkEnd w:id="144"/>
      <w:bookmarkEnd w:id="145"/>
    </w:p>
    <w:p w14:paraId="76D6EDCD">
      <w:pPr>
        <w:widowControl/>
        <w:spacing w:line="360" w:lineRule="auto"/>
        <w:ind w:left="660" w:leftChars="200" w:hanging="240" w:hangingChars="100"/>
        <w:jc w:val="left"/>
        <w:rPr>
          <w:kern w:val="0"/>
          <w:sz w:val="24"/>
          <w:szCs w:val="24"/>
        </w:rPr>
      </w:pPr>
      <w:r>
        <w:rPr>
          <w:kern w:val="0"/>
          <w:sz w:val="24"/>
          <w:szCs w:val="24"/>
        </w:rPr>
        <w:t>1. 设备验收合格起，乙方提供</w:t>
      </w:r>
      <w:r>
        <w:rPr>
          <w:kern w:val="0"/>
          <w:sz w:val="24"/>
          <w:szCs w:val="24"/>
          <w:u w:val="single"/>
        </w:rPr>
        <w:t xml:space="preserve"> 2  </w:t>
      </w:r>
      <w:r>
        <w:rPr>
          <w:kern w:val="0"/>
          <w:sz w:val="24"/>
          <w:szCs w:val="24"/>
        </w:rPr>
        <w:t>年保修。在保质期内设备如非人为因素损坏，乙方将提供免费维修或免费更换零配件</w:t>
      </w:r>
      <w:r>
        <w:rPr>
          <w:sz w:val="24"/>
          <w:szCs w:val="24"/>
        </w:rPr>
        <w:t>(易</w:t>
      </w:r>
      <w:r>
        <w:rPr>
          <w:spacing w:val="-5"/>
          <w:sz w:val="24"/>
          <w:szCs w:val="24"/>
        </w:rPr>
        <w:t>损件除外)</w:t>
      </w:r>
      <w:r>
        <w:rPr>
          <w:kern w:val="0"/>
          <w:sz w:val="24"/>
          <w:szCs w:val="24"/>
        </w:rPr>
        <w:t>；（注：更换主要配件后需延长此配件的保修期3个月）</w:t>
      </w:r>
    </w:p>
    <w:p w14:paraId="19EAEE28">
      <w:pPr>
        <w:spacing w:line="360" w:lineRule="auto"/>
        <w:ind w:left="660" w:leftChars="200" w:hanging="240" w:hangingChars="100"/>
        <w:jc w:val="left"/>
        <w:rPr>
          <w:kern w:val="0"/>
          <w:sz w:val="24"/>
          <w:szCs w:val="24"/>
        </w:rPr>
      </w:pPr>
      <w:r>
        <w:rPr>
          <w:kern w:val="0"/>
          <w:sz w:val="24"/>
          <w:szCs w:val="24"/>
        </w:rPr>
        <w:t>2. 保修期内，乙方应在</w:t>
      </w:r>
      <w:r>
        <w:rPr>
          <w:kern w:val="0"/>
          <w:sz w:val="24"/>
          <w:szCs w:val="24"/>
          <w:u w:val="single"/>
        </w:rPr>
        <w:t xml:space="preserve">  3 </w:t>
      </w:r>
      <w:r>
        <w:rPr>
          <w:kern w:val="0"/>
          <w:sz w:val="24"/>
          <w:szCs w:val="24"/>
        </w:rPr>
        <w:t>小时内响应甲方的维护要求；遇有严重技术问题、重大故障，需要现场维护的，乙方应在接到甲方通知后</w:t>
      </w:r>
      <w:r>
        <w:rPr>
          <w:kern w:val="0"/>
          <w:sz w:val="24"/>
          <w:szCs w:val="24"/>
          <w:u w:val="single"/>
        </w:rPr>
        <w:t xml:space="preserve">  48 </w:t>
      </w:r>
      <w:r>
        <w:rPr>
          <w:kern w:val="0"/>
          <w:sz w:val="24"/>
          <w:szCs w:val="24"/>
        </w:rPr>
        <w:t>个小时内到达甲方设备现场；现场维护</w:t>
      </w:r>
      <w:r>
        <w:rPr>
          <w:kern w:val="0"/>
          <w:sz w:val="24"/>
          <w:szCs w:val="24"/>
          <w:u w:val="single"/>
        </w:rPr>
        <w:t xml:space="preserve"> 3  </w:t>
      </w:r>
      <w:r>
        <w:rPr>
          <w:kern w:val="0"/>
          <w:sz w:val="24"/>
          <w:szCs w:val="24"/>
        </w:rPr>
        <w:t>天仍不能解决的，乙方应提供替代品并将设备自费运回维护，待修好后运还甲方。</w:t>
      </w:r>
    </w:p>
    <w:p w14:paraId="692CB8E0">
      <w:pPr>
        <w:spacing w:line="360" w:lineRule="auto"/>
        <w:ind w:left="424" w:leftChars="202"/>
        <w:rPr>
          <w:sz w:val="24"/>
          <w:szCs w:val="24"/>
        </w:rPr>
      </w:pPr>
      <w:r>
        <w:rPr>
          <w:kern w:val="0"/>
          <w:sz w:val="24"/>
          <w:szCs w:val="24"/>
        </w:rPr>
        <w:t>3. 保修期后，乙方提供设备终身维护服务，</w:t>
      </w:r>
      <w:r>
        <w:rPr>
          <w:sz w:val="24"/>
          <w:szCs w:val="24"/>
        </w:rPr>
        <w:t>终身免费电话、E-mail技术支持</w:t>
      </w:r>
      <w:r>
        <w:rPr>
          <w:kern w:val="0"/>
          <w:sz w:val="24"/>
          <w:szCs w:val="24"/>
        </w:rPr>
        <w:t>。乙方应保证甲方的配件耗材供应，且提供的配件耗材为合格正品、成本价。</w:t>
      </w:r>
      <w:r>
        <w:rPr>
          <w:sz w:val="24"/>
          <w:szCs w:val="24"/>
        </w:rPr>
        <w:t>具体参照双方签订的采购合同执行。</w:t>
      </w:r>
    </w:p>
    <w:p w14:paraId="70021C0B">
      <w:pPr>
        <w:spacing w:line="360" w:lineRule="auto"/>
        <w:ind w:left="424" w:leftChars="202" w:firstLine="1"/>
        <w:rPr>
          <w:sz w:val="24"/>
          <w:szCs w:val="24"/>
        </w:rPr>
      </w:pPr>
      <w:r>
        <w:rPr>
          <w:sz w:val="24"/>
          <w:szCs w:val="24"/>
        </w:rPr>
        <w:t>4. 乙方提供设备软件的终身免费升级服务。</w:t>
      </w:r>
    </w:p>
    <w:p w14:paraId="21C679A5">
      <w:pPr>
        <w:spacing w:line="360" w:lineRule="auto"/>
        <w:ind w:left="424" w:leftChars="202" w:firstLine="1"/>
        <w:rPr>
          <w:sz w:val="24"/>
          <w:szCs w:val="24"/>
        </w:rPr>
      </w:pPr>
      <w:r>
        <w:rPr>
          <w:sz w:val="24"/>
          <w:szCs w:val="24"/>
        </w:rPr>
        <w:t>5. 本协议里售后服务条款如与设备采购合同有冲突时，以设备采购合同为准。</w:t>
      </w:r>
    </w:p>
    <w:p w14:paraId="1723E607">
      <w:pPr>
        <w:pStyle w:val="3"/>
        <w:rPr>
          <w:sz w:val="24"/>
          <w:szCs w:val="24"/>
        </w:rPr>
      </w:pPr>
      <w:bookmarkStart w:id="146" w:name="_Toc532309634"/>
      <w:bookmarkStart w:id="147" w:name="_Toc213747811"/>
      <w:r>
        <w:rPr>
          <w:rFonts w:hint="eastAsia"/>
          <w:sz w:val="24"/>
          <w:szCs w:val="24"/>
          <w:lang w:val="en-US" w:eastAsia="zh-CN"/>
        </w:rPr>
        <w:t>八、</w:t>
      </w:r>
      <w:r>
        <w:rPr>
          <w:sz w:val="24"/>
          <w:szCs w:val="24"/>
        </w:rPr>
        <w:t>保密条款</w:t>
      </w:r>
      <w:bookmarkEnd w:id="146"/>
      <w:bookmarkEnd w:id="147"/>
    </w:p>
    <w:p w14:paraId="66EE4B54">
      <w:pPr>
        <w:spacing w:line="360" w:lineRule="auto"/>
        <w:ind w:left="780" w:leftChars="200" w:hanging="360" w:hangingChars="150"/>
        <w:rPr>
          <w:sz w:val="24"/>
          <w:szCs w:val="24"/>
        </w:rPr>
      </w:pPr>
      <w:r>
        <w:rPr>
          <w:sz w:val="24"/>
          <w:szCs w:val="24"/>
        </w:rPr>
        <w:t>1. 乙方应严格保守其从甲方所获得的任何商业秘密，包括但不限于各种技术类信息（如专有技术、研发设计、产品设计理念/想法、产品及其规格、数据、模型、样品、草案、蓝图、验收、测试、技术参数、方法、有关公式等等）、经营类信息（如产品计划及产品价格；客户名单、营销方法以及相关数据；存货情况、供货商名单、物料成本、已经或拟购买/销售的产品的价格，质量管理程序；公司业务发展方向、拟进入领域等等）,甲方客户的相关信息及其它信息（如提议签订合同的内容；尚未公开的载有知识产权的数据等），而无论这些信息是以何种形式披露。</w:t>
      </w:r>
    </w:p>
    <w:p w14:paraId="36144F12">
      <w:pPr>
        <w:spacing w:line="360" w:lineRule="auto"/>
        <w:ind w:left="780" w:leftChars="200" w:hanging="360" w:hangingChars="150"/>
        <w:rPr>
          <w:sz w:val="24"/>
          <w:szCs w:val="24"/>
        </w:rPr>
      </w:pPr>
      <w:r>
        <w:rPr>
          <w:sz w:val="24"/>
          <w:szCs w:val="24"/>
        </w:rPr>
        <w:t>2. 如乙方违反上述保密义务，甲方有权立即停止与乙方的业务往来，且不需承担任何违约责任，乙方应赔偿给甲方和/或甲方客户造成的所有损失，包括但不限于实际损失及合理的间接损失。</w:t>
      </w:r>
    </w:p>
    <w:p w14:paraId="2B2A8D71">
      <w:pPr>
        <w:spacing w:line="360" w:lineRule="auto"/>
        <w:ind w:left="780" w:leftChars="200" w:hanging="360" w:hangingChars="150"/>
        <w:rPr>
          <w:sz w:val="24"/>
          <w:szCs w:val="24"/>
        </w:rPr>
      </w:pPr>
      <w:r>
        <w:rPr>
          <w:sz w:val="24"/>
          <w:szCs w:val="24"/>
        </w:rPr>
        <w:t>3. 本条款的效力：本条之上述任何条款，在双方合作期间及合作终止后永远年内持续有效。</w:t>
      </w:r>
    </w:p>
    <w:p w14:paraId="453E7EAE">
      <w:pPr>
        <w:pStyle w:val="3"/>
        <w:rPr>
          <w:sz w:val="24"/>
          <w:szCs w:val="24"/>
        </w:rPr>
      </w:pPr>
      <w:bookmarkStart w:id="148" w:name="_Toc213747813"/>
      <w:bookmarkStart w:id="149" w:name="_Toc532309636"/>
      <w:r>
        <w:rPr>
          <w:sz w:val="24"/>
          <w:szCs w:val="24"/>
        </w:rPr>
        <w:t>九 违约及协议生效</w:t>
      </w:r>
      <w:bookmarkEnd w:id="148"/>
      <w:bookmarkEnd w:id="149"/>
    </w:p>
    <w:p w14:paraId="69617D7E">
      <w:pPr>
        <w:spacing w:line="360" w:lineRule="auto"/>
        <w:ind w:left="424" w:leftChars="202" w:firstLine="2"/>
        <w:rPr>
          <w:sz w:val="24"/>
          <w:szCs w:val="24"/>
        </w:rPr>
      </w:pPr>
      <w:r>
        <w:rPr>
          <w:sz w:val="24"/>
          <w:szCs w:val="24"/>
        </w:rPr>
        <w:t>1. 乙方违反本协议、协议附件或与本协议相关的订单任何条款的规定，则甲方有权进行解除本协议及具体的订单，或要求乙方继续履行。乙方的违约行为给甲方或甲方员工造成财产损失或人身伤害的，由乙方承担甲方及甲方人员的所有损失。</w:t>
      </w:r>
    </w:p>
    <w:p w14:paraId="756560AF">
      <w:pPr>
        <w:spacing w:line="360" w:lineRule="auto"/>
        <w:ind w:left="666" w:leftChars="203" w:hanging="240" w:hangingChars="100"/>
        <w:rPr>
          <w:sz w:val="24"/>
          <w:szCs w:val="24"/>
        </w:rPr>
      </w:pPr>
      <w:r>
        <w:rPr>
          <w:sz w:val="24"/>
          <w:szCs w:val="24"/>
        </w:rPr>
        <w:t>2. 本协议作为设备制造和验收的依据，与甲方的订单条款及双方另行签署的 《设备采购合同》 具有同等法律效力；协议中没有约定的,以双方之间签署的其他协议、合同、条款为准。</w:t>
      </w:r>
    </w:p>
    <w:p w14:paraId="5AEC0D8C">
      <w:pPr>
        <w:spacing w:line="360" w:lineRule="auto"/>
        <w:ind w:left="540" w:leftChars="200" w:hanging="120" w:hangingChars="50"/>
        <w:rPr>
          <w:sz w:val="24"/>
          <w:szCs w:val="24"/>
        </w:rPr>
      </w:pPr>
      <w:r>
        <w:rPr>
          <w:sz w:val="24"/>
          <w:szCs w:val="24"/>
        </w:rPr>
        <w:t>3. 本技术协议一式三份，甲方二份，乙方一份，本协议自经双方盖章后（加盖骑缝章）生效。</w:t>
      </w:r>
    </w:p>
    <w:p w14:paraId="684A3F76">
      <w:pPr>
        <w:spacing w:line="360" w:lineRule="auto"/>
        <w:ind w:left="540" w:leftChars="200" w:hanging="120" w:hangingChars="50"/>
        <w:rPr>
          <w:sz w:val="24"/>
          <w:szCs w:val="24"/>
        </w:rPr>
      </w:pPr>
      <w:r>
        <w:rPr>
          <w:sz w:val="24"/>
          <w:szCs w:val="24"/>
        </w:rPr>
        <w:t>4. 本协议未尽事宜由双方协商解决。</w:t>
      </w:r>
    </w:p>
    <w:p w14:paraId="2749062C">
      <w:pPr>
        <w:spacing w:line="276" w:lineRule="auto"/>
        <w:ind w:left="840"/>
        <w:rPr>
          <w:rFonts w:hint="eastAsia" w:ascii="宋体" w:hAnsi="宋体"/>
          <w:szCs w:val="21"/>
        </w:rPr>
      </w:pPr>
    </w:p>
    <w:p w14:paraId="1E6804C9">
      <w:pPr>
        <w:pStyle w:val="19"/>
      </w:pPr>
    </w:p>
    <w:p w14:paraId="178C5017">
      <w:pPr>
        <w:spacing w:line="360" w:lineRule="exact"/>
        <w:ind w:left="420" w:leftChars="200"/>
        <w:rPr>
          <w:rFonts w:hint="eastAsia" w:ascii="宋体" w:hAnsi="宋体"/>
          <w:szCs w:val="21"/>
        </w:rPr>
      </w:pPr>
      <w:r>
        <w:rPr>
          <w:rFonts w:hint="eastAsia" w:ascii="宋体" w:hAnsi="宋体"/>
          <w:szCs w:val="21"/>
        </w:rPr>
        <w:t>购方（甲方）：</w:t>
      </w:r>
      <w:r>
        <w:rPr>
          <w:rFonts w:hint="eastAsia" w:ascii="宋体" w:hAnsi="宋体"/>
          <w:szCs w:val="21"/>
        </w:rPr>
        <w:tab/>
      </w:r>
      <w:r>
        <w:rPr>
          <w:rFonts w:hint="eastAsia" w:ascii="宋体" w:hAnsi="宋体"/>
          <w:szCs w:val="21"/>
        </w:rPr>
        <w:t xml:space="preserve">                             供方（乙方）：</w:t>
      </w:r>
    </w:p>
    <w:p w14:paraId="7CE93740">
      <w:pPr>
        <w:spacing w:line="360" w:lineRule="exact"/>
        <w:ind w:left="420" w:leftChars="200"/>
        <w:rPr>
          <w:rFonts w:hint="eastAsia" w:ascii="宋体" w:hAnsi="宋体"/>
          <w:szCs w:val="21"/>
        </w:rPr>
      </w:pPr>
      <w:r>
        <w:rPr>
          <w:rFonts w:hint="eastAsia" w:ascii="宋体" w:hAnsi="宋体"/>
          <w:szCs w:val="21"/>
        </w:rPr>
        <w:t>地址：                                       地址：</w:t>
      </w:r>
    </w:p>
    <w:p w14:paraId="19F99B99">
      <w:pPr>
        <w:spacing w:line="360" w:lineRule="exact"/>
        <w:ind w:left="420" w:leftChars="200"/>
        <w:rPr>
          <w:rFonts w:hint="eastAsia" w:ascii="宋体" w:hAnsi="宋体"/>
          <w:szCs w:val="21"/>
        </w:rPr>
      </w:pPr>
      <w:r>
        <w:rPr>
          <w:rFonts w:hint="eastAsia" w:ascii="宋体" w:hAnsi="宋体"/>
          <w:szCs w:val="21"/>
        </w:rPr>
        <w:t>购方负责人：                                 供方负责人：</w:t>
      </w:r>
    </w:p>
    <w:p w14:paraId="17D2EE1D">
      <w:pPr>
        <w:spacing w:line="360" w:lineRule="exact"/>
        <w:ind w:left="420" w:leftChars="200"/>
        <w:rPr>
          <w:rFonts w:hint="eastAsia" w:ascii="宋体" w:hAnsi="宋体"/>
          <w:szCs w:val="21"/>
        </w:rPr>
      </w:pPr>
      <w:r>
        <w:rPr>
          <w:rFonts w:hint="eastAsia" w:ascii="宋体" w:hAnsi="宋体"/>
          <w:szCs w:val="21"/>
        </w:rPr>
        <w:t xml:space="preserve">电话:             </w:t>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lang w:val="en-US" w:eastAsia="zh-CN"/>
        </w:rPr>
        <w:t xml:space="preserve">    </w:t>
      </w:r>
      <w:r>
        <w:rPr>
          <w:rFonts w:hint="eastAsia" w:ascii="宋体" w:hAnsi="宋体"/>
          <w:szCs w:val="21"/>
        </w:rPr>
        <w:t xml:space="preserve"> 电话:</w:t>
      </w:r>
      <w:r>
        <w:rPr>
          <w:rFonts w:ascii="宋体" w:hAnsi="宋体"/>
          <w:szCs w:val="21"/>
        </w:rPr>
        <w:t xml:space="preserve"> </w:t>
      </w:r>
    </w:p>
    <w:p w14:paraId="1205847D">
      <w:pPr>
        <w:spacing w:line="360" w:lineRule="exact"/>
        <w:ind w:left="420" w:leftChars="200"/>
        <w:rPr>
          <w:rFonts w:hint="eastAsia" w:ascii="宋体" w:hAnsi="宋体"/>
          <w:szCs w:val="21"/>
        </w:rPr>
      </w:pPr>
      <w:r>
        <w:rPr>
          <w:rFonts w:hint="eastAsia" w:ascii="宋体" w:hAnsi="宋体"/>
          <w:szCs w:val="21"/>
        </w:rPr>
        <w:t xml:space="preserve">传真： </w:t>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ab/>
      </w:r>
      <w:r>
        <w:rPr>
          <w:rFonts w:hint="eastAsia" w:ascii="宋体" w:hAnsi="宋体"/>
          <w:szCs w:val="21"/>
        </w:rPr>
        <w:t xml:space="preserve">                 传真：</w:t>
      </w:r>
    </w:p>
    <w:p w14:paraId="78B85A7E">
      <w:pPr>
        <w:spacing w:line="360" w:lineRule="exact"/>
        <w:ind w:left="420" w:leftChars="200"/>
        <w:rPr>
          <w:rFonts w:hint="eastAsia" w:ascii="宋体" w:hAnsi="宋体"/>
          <w:bCs/>
          <w:szCs w:val="21"/>
        </w:rPr>
      </w:pPr>
      <w:r>
        <w:rPr>
          <w:rFonts w:hint="eastAsia" w:ascii="宋体" w:hAnsi="宋体"/>
          <w:bCs/>
          <w:szCs w:val="21"/>
        </w:rPr>
        <w:t xml:space="preserve">日期：                                       日期：                          </w:t>
      </w:r>
    </w:p>
    <w:p w14:paraId="53747E9F">
      <w:pPr>
        <w:widowControl/>
        <w:adjustRightInd w:val="0"/>
        <w:snapToGrid w:val="0"/>
        <w:spacing w:line="360" w:lineRule="auto"/>
        <w:jc w:val="center"/>
        <w:rPr>
          <w:rFonts w:hint="eastAsia" w:hAnsi="宋体" w:cs="Arial"/>
          <w:b/>
          <w:sz w:val="36"/>
          <w:szCs w:val="36"/>
          <w:highlight w:val="yellow"/>
        </w:rPr>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Bold">
    <w:altName w:val="Times New Roman"/>
    <w:panose1 w:val="020B0704020202020204"/>
    <w:charset w:val="00"/>
    <w:family w:val="roman"/>
    <w:pitch w:val="default"/>
    <w:sig w:usb0="00000000" w:usb1="00000000" w:usb2="00000000" w:usb3="00000000" w:csb0="00000001" w:csb1="00000000"/>
  </w:font>
  <w:font w:name="MS Gothic">
    <w:panose1 w:val="020B0609070205080204"/>
    <w:charset w:val="80"/>
    <w:family w:val="modern"/>
    <w:pitch w:val="default"/>
    <w:sig w:usb0="E00002FF" w:usb1="6AC7FDFB" w:usb2="08000012" w:usb3="00000000" w:csb0="4002009F" w:csb1="DFD70000"/>
  </w:font>
  <w:font w:name="Century">
    <w:panose1 w:val="02040604050505020304"/>
    <w:charset w:val="00"/>
    <w:family w:val="roman"/>
    <w:pitch w:val="default"/>
    <w:sig w:usb0="00000287" w:usb1="00000000" w:usb2="00000000" w:usb3="00000000" w:csb0="2000009F" w:csb1="DFD70000"/>
  </w:font>
  <w:font w:name="Century Gothic">
    <w:panose1 w:val="020B0502020202020204"/>
    <w:charset w:val="00"/>
    <w:family w:val="swiss"/>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3763195"/>
    </w:sdtPr>
    <w:sdtContent>
      <w:p w14:paraId="374C2B87">
        <w:pPr>
          <w:pStyle w:val="48"/>
          <w:jc w:val="center"/>
        </w:pPr>
        <w:r>
          <w:fldChar w:fldCharType="begin"/>
        </w:r>
        <w:r>
          <w:instrText xml:space="preserve">PAGE   \* MERGEFORMAT</w:instrText>
        </w:r>
        <w:r>
          <w:fldChar w:fldCharType="separate"/>
        </w:r>
        <w:r>
          <w:rPr>
            <w:lang w:val="zh-CN"/>
          </w:rPr>
          <w:t>3</w:t>
        </w:r>
        <w:r>
          <w:rPr>
            <w:lang w:val="zh-CN"/>
          </w:rPr>
          <w:fldChar w:fldCharType="end"/>
        </w:r>
      </w:p>
    </w:sdtContent>
  </w:sdt>
  <w:p w14:paraId="002EAE91">
    <w:pPr>
      <w:pStyle w:val="48"/>
      <w:tabs>
        <w:tab w:val="left" w:pos="3630"/>
        <w:tab w:val="clear" w:pos="4153"/>
        <w:tab w:val="clear" w:pos="8306"/>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C5BBB">
    <w:pPr>
      <w:pStyle w:val="4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8C3A">
    <w:pPr>
      <w:pStyle w:val="48"/>
    </w:pPr>
  </w:p>
  <w:p w14:paraId="7F306F5F">
    <w:pPr>
      <w:pStyle w:val="4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078D5">
    <w:pPr>
      <w:pStyle w:val="48"/>
      <w:jc w:val="center"/>
    </w:pPr>
    <w:r>
      <w:fldChar w:fldCharType="begin"/>
    </w:r>
    <w:r>
      <w:instrText xml:space="preserve">PAGE   \* MERGEFORMAT</w:instrText>
    </w:r>
    <w:r>
      <w:fldChar w:fldCharType="separate"/>
    </w:r>
    <w:r>
      <w:rPr>
        <w:lang w:val="zh-CN"/>
      </w:rPr>
      <w:t>3</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5A9">
    <w:pPr>
      <w:pStyle w:val="5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81598">
    <w:pPr>
      <w:pStyle w:val="5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4514">
    <w:pPr>
      <w:pStyle w:val="5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59AE4">
    <w:pPr>
      <w:tabs>
        <w:tab w:val="left" w:pos="910"/>
      </w:tabs>
      <w:autoSpaceDE w:val="0"/>
      <w:autoSpaceDN w:val="0"/>
      <w:adjustRightInd w:val="0"/>
      <w:spacing w:line="480" w:lineRule="auto"/>
      <w:jc w:val="center"/>
      <w:rPr>
        <w:rFonts w:hint="eastAsia" w:cs="宋体" w:asciiTheme="minorEastAsia" w:hAnsiTheme="minorEastAsia"/>
        <w:bCs/>
        <w:kern w:val="0"/>
        <w:szCs w:val="52"/>
      </w:rPr>
    </w:pPr>
    <w:r>
      <w:rPr>
        <w:rFonts w:hint="eastAsia" w:cs="宋体" w:asciiTheme="minorEastAsia" w:hAnsiTheme="minorEastAsia"/>
        <w:bCs/>
        <w:kern w:val="0"/>
        <w:szCs w:val="52"/>
      </w:rPr>
      <w:t>议标文件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B1C88">
    <w:pPr>
      <w:pStyle w:val="5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8CB1D">
    <w:pPr>
      <w:pStyle w:val="5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BF88D">
    <w:pPr>
      <w:pStyle w:val="50"/>
      <w:pBdr>
        <w:bottom w:val="single" w:color="auto" w:sz="4" w:space="1"/>
      </w:pBdr>
      <w:jc w:val="right"/>
      <w:rPr>
        <w:rFonts w:hint="eastAsia" w:ascii="微软雅黑" w:hAnsi="微软雅黑" w:eastAsia="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400816"/>
    <w:multiLevelType w:val="multilevel"/>
    <w:tmpl w:val="09400816"/>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5F205B"/>
    <w:multiLevelType w:val="multilevel"/>
    <w:tmpl w:val="095F205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6990214"/>
    <w:multiLevelType w:val="multilevel"/>
    <w:tmpl w:val="26990214"/>
    <w:lvl w:ilvl="0" w:tentative="0">
      <w:start w:val="1"/>
      <w:numFmt w:val="decimal"/>
      <w:lvlText w:val="%1."/>
      <w:lvlJc w:val="left"/>
      <w:pPr>
        <w:ind w:left="735" w:hanging="420"/>
      </w:pPr>
    </w:lvl>
    <w:lvl w:ilvl="1" w:tentative="0">
      <w:start w:val="1"/>
      <w:numFmt w:val="decimal"/>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3">
    <w:nsid w:val="3C444D7A"/>
    <w:multiLevelType w:val="multilevel"/>
    <w:tmpl w:val="3C444D7A"/>
    <w:lvl w:ilvl="0" w:tentative="0">
      <w:start w:val="1"/>
      <w:numFmt w:val="chineseCountingThousand"/>
      <w:lvlText w:val="%1、"/>
      <w:lvlJc w:val="left"/>
      <w:pPr>
        <w:tabs>
          <w:tab w:val="left" w:pos="659"/>
        </w:tabs>
        <w:ind w:left="659" w:hanging="375"/>
      </w:pPr>
      <w:rPr>
        <w:rFonts w:hint="default"/>
      </w:r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abstractNum w:abstractNumId="4">
    <w:nsid w:val="486E56BC"/>
    <w:multiLevelType w:val="multilevel"/>
    <w:tmpl w:val="486E56B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04E4FFB"/>
    <w:multiLevelType w:val="multilevel"/>
    <w:tmpl w:val="604E4FF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09044F5"/>
    <w:multiLevelType w:val="multilevel"/>
    <w:tmpl w:val="609044F5"/>
    <w:lvl w:ilvl="0" w:tentative="0">
      <w:start w:val="1"/>
      <w:numFmt w:val="decimal"/>
      <w:lvlText w:val="%1、"/>
      <w:lvlJc w:val="left"/>
      <w:pPr>
        <w:ind w:left="360" w:hanging="360"/>
      </w:pPr>
      <w:rPr>
        <w:rFonts w:hint="default" w:ascii="宋体" w:hAnsi="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D807638"/>
    <w:multiLevelType w:val="multilevel"/>
    <w:tmpl w:val="7D807638"/>
    <w:lvl w:ilvl="0" w:tentative="0">
      <w:start w:val="1"/>
      <w:numFmt w:val="chineseCountingThousand"/>
      <w:lvlText w:val="%1、"/>
      <w:lvlJc w:val="left"/>
      <w:pPr>
        <w:ind w:left="1044" w:hanging="420"/>
      </w:pPr>
      <w:rPr>
        <w:rFonts w:hint="eastAsia"/>
        <w:b/>
      </w:rPr>
    </w:lvl>
    <w:lvl w:ilvl="1" w:tentative="0">
      <w:start w:val="1"/>
      <w:numFmt w:val="lowerLetter"/>
      <w:lvlText w:val="%2)"/>
      <w:lvlJc w:val="left"/>
      <w:pPr>
        <w:ind w:left="1464" w:hanging="420"/>
      </w:pPr>
    </w:lvl>
    <w:lvl w:ilvl="2" w:tentative="0">
      <w:start w:val="1"/>
      <w:numFmt w:val="lowerRoman"/>
      <w:lvlText w:val="%3."/>
      <w:lvlJc w:val="right"/>
      <w:pPr>
        <w:ind w:left="1884" w:hanging="420"/>
      </w:pPr>
    </w:lvl>
    <w:lvl w:ilvl="3" w:tentative="0">
      <w:start w:val="1"/>
      <w:numFmt w:val="decimal"/>
      <w:lvlText w:val="%4."/>
      <w:lvlJc w:val="left"/>
      <w:pPr>
        <w:ind w:left="2304" w:hanging="420"/>
      </w:pPr>
    </w:lvl>
    <w:lvl w:ilvl="4" w:tentative="0">
      <w:start w:val="1"/>
      <w:numFmt w:val="lowerLetter"/>
      <w:lvlText w:val="%5)"/>
      <w:lvlJc w:val="left"/>
      <w:pPr>
        <w:ind w:left="2724" w:hanging="420"/>
      </w:pPr>
    </w:lvl>
    <w:lvl w:ilvl="5" w:tentative="0">
      <w:start w:val="1"/>
      <w:numFmt w:val="lowerRoman"/>
      <w:lvlText w:val="%6."/>
      <w:lvlJc w:val="right"/>
      <w:pPr>
        <w:ind w:left="3144" w:hanging="420"/>
      </w:pPr>
    </w:lvl>
    <w:lvl w:ilvl="6" w:tentative="0">
      <w:start w:val="1"/>
      <w:numFmt w:val="decimal"/>
      <w:lvlText w:val="%7."/>
      <w:lvlJc w:val="left"/>
      <w:pPr>
        <w:ind w:left="3564" w:hanging="420"/>
      </w:pPr>
    </w:lvl>
    <w:lvl w:ilvl="7" w:tentative="0">
      <w:start w:val="1"/>
      <w:numFmt w:val="lowerLetter"/>
      <w:lvlText w:val="%8)"/>
      <w:lvlJc w:val="left"/>
      <w:pPr>
        <w:ind w:left="3984" w:hanging="420"/>
      </w:pPr>
    </w:lvl>
    <w:lvl w:ilvl="8" w:tentative="0">
      <w:start w:val="1"/>
      <w:numFmt w:val="lowerRoman"/>
      <w:lvlText w:val="%9."/>
      <w:lvlJc w:val="right"/>
      <w:pPr>
        <w:ind w:left="4404" w:hanging="420"/>
      </w:pPr>
    </w:lvl>
  </w:abstractNum>
  <w:num w:numId="1">
    <w:abstractNumId w:val="6"/>
  </w:num>
  <w:num w:numId="2">
    <w:abstractNumId w:val="5"/>
  </w:num>
  <w:num w:numId="3">
    <w:abstractNumId w:val="0"/>
  </w:num>
  <w:num w:numId="4">
    <w:abstractNumId w:val="4"/>
  </w:num>
  <w:num w:numId="5">
    <w:abstractNumId w:val="7"/>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lNjM3YjU1NmU1Y2ZmNDg2MTY5NjM5YmY5OGI0ZmIifQ=="/>
  </w:docVars>
  <w:rsids>
    <w:rsidRoot w:val="007D7081"/>
    <w:rsid w:val="00006FAB"/>
    <w:rsid w:val="000158DC"/>
    <w:rsid w:val="00015E34"/>
    <w:rsid w:val="00021094"/>
    <w:rsid w:val="00030C60"/>
    <w:rsid w:val="000377AA"/>
    <w:rsid w:val="000405C7"/>
    <w:rsid w:val="00040745"/>
    <w:rsid w:val="000520BC"/>
    <w:rsid w:val="00052E4E"/>
    <w:rsid w:val="00060327"/>
    <w:rsid w:val="000660ED"/>
    <w:rsid w:val="0007571E"/>
    <w:rsid w:val="0008260D"/>
    <w:rsid w:val="000831A9"/>
    <w:rsid w:val="00083F03"/>
    <w:rsid w:val="00084DCB"/>
    <w:rsid w:val="00087057"/>
    <w:rsid w:val="00087A41"/>
    <w:rsid w:val="000B4003"/>
    <w:rsid w:val="000B4B8D"/>
    <w:rsid w:val="000B6062"/>
    <w:rsid w:val="000B7DB7"/>
    <w:rsid w:val="000C2CDD"/>
    <w:rsid w:val="000C468E"/>
    <w:rsid w:val="000D45FD"/>
    <w:rsid w:val="000E15B6"/>
    <w:rsid w:val="000F172F"/>
    <w:rsid w:val="000F2944"/>
    <w:rsid w:val="000F45C3"/>
    <w:rsid w:val="000F5B4F"/>
    <w:rsid w:val="00101CFB"/>
    <w:rsid w:val="001041A2"/>
    <w:rsid w:val="00112F66"/>
    <w:rsid w:val="00115CE9"/>
    <w:rsid w:val="0011611D"/>
    <w:rsid w:val="0012143F"/>
    <w:rsid w:val="00122765"/>
    <w:rsid w:val="00122DA7"/>
    <w:rsid w:val="0013083C"/>
    <w:rsid w:val="00132A6F"/>
    <w:rsid w:val="001333D0"/>
    <w:rsid w:val="001350DA"/>
    <w:rsid w:val="00136D7E"/>
    <w:rsid w:val="00146BE2"/>
    <w:rsid w:val="00146E6E"/>
    <w:rsid w:val="0015465B"/>
    <w:rsid w:val="001546ED"/>
    <w:rsid w:val="00155275"/>
    <w:rsid w:val="00161EBD"/>
    <w:rsid w:val="001623E2"/>
    <w:rsid w:val="00165945"/>
    <w:rsid w:val="001667F3"/>
    <w:rsid w:val="0016744C"/>
    <w:rsid w:val="00183818"/>
    <w:rsid w:val="00190377"/>
    <w:rsid w:val="00190989"/>
    <w:rsid w:val="00192970"/>
    <w:rsid w:val="001946ED"/>
    <w:rsid w:val="001A3F18"/>
    <w:rsid w:val="001A4DBD"/>
    <w:rsid w:val="001A64C4"/>
    <w:rsid w:val="001B039F"/>
    <w:rsid w:val="001B3825"/>
    <w:rsid w:val="001B547B"/>
    <w:rsid w:val="001B640D"/>
    <w:rsid w:val="001C20D4"/>
    <w:rsid w:val="001C5CCD"/>
    <w:rsid w:val="001C6534"/>
    <w:rsid w:val="001C7CEB"/>
    <w:rsid w:val="001D22C4"/>
    <w:rsid w:val="001D26BC"/>
    <w:rsid w:val="001D6421"/>
    <w:rsid w:val="001D66B8"/>
    <w:rsid w:val="001E042D"/>
    <w:rsid w:val="001F1B16"/>
    <w:rsid w:val="001F2606"/>
    <w:rsid w:val="001F7177"/>
    <w:rsid w:val="00202801"/>
    <w:rsid w:val="00204281"/>
    <w:rsid w:val="0020428D"/>
    <w:rsid w:val="00204FBA"/>
    <w:rsid w:val="00213877"/>
    <w:rsid w:val="00215BAD"/>
    <w:rsid w:val="00223EAC"/>
    <w:rsid w:val="002315FC"/>
    <w:rsid w:val="00231BC4"/>
    <w:rsid w:val="002353B4"/>
    <w:rsid w:val="00243A17"/>
    <w:rsid w:val="0025369D"/>
    <w:rsid w:val="00255FB0"/>
    <w:rsid w:val="00257330"/>
    <w:rsid w:val="002602B2"/>
    <w:rsid w:val="00263ED6"/>
    <w:rsid w:val="00265A76"/>
    <w:rsid w:val="00265AA0"/>
    <w:rsid w:val="0026634B"/>
    <w:rsid w:val="00266F9E"/>
    <w:rsid w:val="00273DD9"/>
    <w:rsid w:val="00277EFB"/>
    <w:rsid w:val="002917A9"/>
    <w:rsid w:val="00293E38"/>
    <w:rsid w:val="00294287"/>
    <w:rsid w:val="00295A6F"/>
    <w:rsid w:val="002A166A"/>
    <w:rsid w:val="002A1B3C"/>
    <w:rsid w:val="002A561D"/>
    <w:rsid w:val="002A7C47"/>
    <w:rsid w:val="002B6964"/>
    <w:rsid w:val="002C2683"/>
    <w:rsid w:val="002C3DB8"/>
    <w:rsid w:val="002C6540"/>
    <w:rsid w:val="002C67B3"/>
    <w:rsid w:val="002D49CF"/>
    <w:rsid w:val="002E1AFE"/>
    <w:rsid w:val="002E2F64"/>
    <w:rsid w:val="002E3DD0"/>
    <w:rsid w:val="002E478C"/>
    <w:rsid w:val="002E6D4C"/>
    <w:rsid w:val="002F0399"/>
    <w:rsid w:val="002F5043"/>
    <w:rsid w:val="002F6C3D"/>
    <w:rsid w:val="003029C0"/>
    <w:rsid w:val="00303D3E"/>
    <w:rsid w:val="00303EB7"/>
    <w:rsid w:val="00311A60"/>
    <w:rsid w:val="003149F1"/>
    <w:rsid w:val="00315C3A"/>
    <w:rsid w:val="0032237D"/>
    <w:rsid w:val="003275E4"/>
    <w:rsid w:val="003279CB"/>
    <w:rsid w:val="00333511"/>
    <w:rsid w:val="00340293"/>
    <w:rsid w:val="00342BE8"/>
    <w:rsid w:val="003509F0"/>
    <w:rsid w:val="00352E16"/>
    <w:rsid w:val="00365864"/>
    <w:rsid w:val="003757F8"/>
    <w:rsid w:val="00375B7A"/>
    <w:rsid w:val="003806AB"/>
    <w:rsid w:val="00380FFA"/>
    <w:rsid w:val="00386ACE"/>
    <w:rsid w:val="00390AC6"/>
    <w:rsid w:val="00395E0B"/>
    <w:rsid w:val="003A0172"/>
    <w:rsid w:val="003A53AA"/>
    <w:rsid w:val="003B09C9"/>
    <w:rsid w:val="003B1981"/>
    <w:rsid w:val="003B26E2"/>
    <w:rsid w:val="003C3FC9"/>
    <w:rsid w:val="003D2CC2"/>
    <w:rsid w:val="003F0C4D"/>
    <w:rsid w:val="003F6FBD"/>
    <w:rsid w:val="0040044C"/>
    <w:rsid w:val="004012AF"/>
    <w:rsid w:val="0040359B"/>
    <w:rsid w:val="00406253"/>
    <w:rsid w:val="00411A82"/>
    <w:rsid w:val="00414510"/>
    <w:rsid w:val="00417378"/>
    <w:rsid w:val="00420F13"/>
    <w:rsid w:val="004234DC"/>
    <w:rsid w:val="00432419"/>
    <w:rsid w:val="00433FB0"/>
    <w:rsid w:val="0045475A"/>
    <w:rsid w:val="0046273C"/>
    <w:rsid w:val="00466589"/>
    <w:rsid w:val="00471E23"/>
    <w:rsid w:val="00474163"/>
    <w:rsid w:val="0048040B"/>
    <w:rsid w:val="0048422A"/>
    <w:rsid w:val="004847F0"/>
    <w:rsid w:val="00485597"/>
    <w:rsid w:val="004938CF"/>
    <w:rsid w:val="00495E38"/>
    <w:rsid w:val="004969BC"/>
    <w:rsid w:val="004A0463"/>
    <w:rsid w:val="004A2C4F"/>
    <w:rsid w:val="004A3B1C"/>
    <w:rsid w:val="004A46EB"/>
    <w:rsid w:val="004B09DC"/>
    <w:rsid w:val="004B4091"/>
    <w:rsid w:val="004B46B9"/>
    <w:rsid w:val="004B5450"/>
    <w:rsid w:val="004C1C2B"/>
    <w:rsid w:val="004C2DB4"/>
    <w:rsid w:val="004C68EB"/>
    <w:rsid w:val="004D3654"/>
    <w:rsid w:val="004D4533"/>
    <w:rsid w:val="004D5E6B"/>
    <w:rsid w:val="004D6648"/>
    <w:rsid w:val="004E0B18"/>
    <w:rsid w:val="004E1DBD"/>
    <w:rsid w:val="004E3CA6"/>
    <w:rsid w:val="004E3CCA"/>
    <w:rsid w:val="004E5D76"/>
    <w:rsid w:val="004E6D05"/>
    <w:rsid w:val="004F32DF"/>
    <w:rsid w:val="004F3951"/>
    <w:rsid w:val="004F5A1F"/>
    <w:rsid w:val="004F6EE9"/>
    <w:rsid w:val="005013DB"/>
    <w:rsid w:val="00503C4C"/>
    <w:rsid w:val="005114E4"/>
    <w:rsid w:val="005132A1"/>
    <w:rsid w:val="00524847"/>
    <w:rsid w:val="00527116"/>
    <w:rsid w:val="00531057"/>
    <w:rsid w:val="005407F9"/>
    <w:rsid w:val="00552282"/>
    <w:rsid w:val="00553306"/>
    <w:rsid w:val="005538DF"/>
    <w:rsid w:val="005613D3"/>
    <w:rsid w:val="00563FFB"/>
    <w:rsid w:val="005715D6"/>
    <w:rsid w:val="0057206E"/>
    <w:rsid w:val="005816CD"/>
    <w:rsid w:val="005825D8"/>
    <w:rsid w:val="00583BF6"/>
    <w:rsid w:val="005933AA"/>
    <w:rsid w:val="0059574C"/>
    <w:rsid w:val="00596CCD"/>
    <w:rsid w:val="005A122D"/>
    <w:rsid w:val="005A12CB"/>
    <w:rsid w:val="005A1CB3"/>
    <w:rsid w:val="005A389E"/>
    <w:rsid w:val="005A47B7"/>
    <w:rsid w:val="005A6773"/>
    <w:rsid w:val="005A6D69"/>
    <w:rsid w:val="005C0955"/>
    <w:rsid w:val="005D3CE6"/>
    <w:rsid w:val="005E28AF"/>
    <w:rsid w:val="005E41BD"/>
    <w:rsid w:val="005E7C90"/>
    <w:rsid w:val="005F55AA"/>
    <w:rsid w:val="005F6BCE"/>
    <w:rsid w:val="00606F12"/>
    <w:rsid w:val="00607FB1"/>
    <w:rsid w:val="006119A5"/>
    <w:rsid w:val="00615DE1"/>
    <w:rsid w:val="00621A45"/>
    <w:rsid w:val="00622AC7"/>
    <w:rsid w:val="0062326C"/>
    <w:rsid w:val="0063311C"/>
    <w:rsid w:val="00636455"/>
    <w:rsid w:val="006410FA"/>
    <w:rsid w:val="00643277"/>
    <w:rsid w:val="00643D98"/>
    <w:rsid w:val="0064413F"/>
    <w:rsid w:val="00645BE6"/>
    <w:rsid w:val="006466FC"/>
    <w:rsid w:val="006522DE"/>
    <w:rsid w:val="006526FC"/>
    <w:rsid w:val="0065299D"/>
    <w:rsid w:val="00653750"/>
    <w:rsid w:val="00671950"/>
    <w:rsid w:val="00676FA0"/>
    <w:rsid w:val="00684B5A"/>
    <w:rsid w:val="006851BF"/>
    <w:rsid w:val="006863C8"/>
    <w:rsid w:val="00690324"/>
    <w:rsid w:val="006A28CA"/>
    <w:rsid w:val="006A53AD"/>
    <w:rsid w:val="006C30A3"/>
    <w:rsid w:val="006C30FA"/>
    <w:rsid w:val="006E0A55"/>
    <w:rsid w:val="006E5838"/>
    <w:rsid w:val="006E712E"/>
    <w:rsid w:val="006F2580"/>
    <w:rsid w:val="006F33E3"/>
    <w:rsid w:val="007001A5"/>
    <w:rsid w:val="007154A3"/>
    <w:rsid w:val="007242BA"/>
    <w:rsid w:val="0074299C"/>
    <w:rsid w:val="00742CEA"/>
    <w:rsid w:val="0074708D"/>
    <w:rsid w:val="00751680"/>
    <w:rsid w:val="00752B54"/>
    <w:rsid w:val="00753526"/>
    <w:rsid w:val="0075482A"/>
    <w:rsid w:val="00755ADB"/>
    <w:rsid w:val="007578C3"/>
    <w:rsid w:val="0076277A"/>
    <w:rsid w:val="0077158F"/>
    <w:rsid w:val="007717C7"/>
    <w:rsid w:val="007748BE"/>
    <w:rsid w:val="007769CE"/>
    <w:rsid w:val="00777CC9"/>
    <w:rsid w:val="00780670"/>
    <w:rsid w:val="00783855"/>
    <w:rsid w:val="007848EC"/>
    <w:rsid w:val="0079243D"/>
    <w:rsid w:val="00793CB1"/>
    <w:rsid w:val="00797567"/>
    <w:rsid w:val="007A40DF"/>
    <w:rsid w:val="007A49EE"/>
    <w:rsid w:val="007A53D9"/>
    <w:rsid w:val="007B0FEB"/>
    <w:rsid w:val="007B626C"/>
    <w:rsid w:val="007C4CA6"/>
    <w:rsid w:val="007C5A28"/>
    <w:rsid w:val="007C70C8"/>
    <w:rsid w:val="007D7081"/>
    <w:rsid w:val="007E7C0B"/>
    <w:rsid w:val="007F0264"/>
    <w:rsid w:val="007F231D"/>
    <w:rsid w:val="00801237"/>
    <w:rsid w:val="0080471F"/>
    <w:rsid w:val="00806E69"/>
    <w:rsid w:val="008074E9"/>
    <w:rsid w:val="00811707"/>
    <w:rsid w:val="00815B7D"/>
    <w:rsid w:val="008168E5"/>
    <w:rsid w:val="00821985"/>
    <w:rsid w:val="00827B33"/>
    <w:rsid w:val="008318B7"/>
    <w:rsid w:val="008329B3"/>
    <w:rsid w:val="00837A93"/>
    <w:rsid w:val="00845C69"/>
    <w:rsid w:val="00853B7A"/>
    <w:rsid w:val="00856099"/>
    <w:rsid w:val="0085717F"/>
    <w:rsid w:val="00860F32"/>
    <w:rsid w:val="008644E9"/>
    <w:rsid w:val="00865B77"/>
    <w:rsid w:val="00866010"/>
    <w:rsid w:val="00874D99"/>
    <w:rsid w:val="00877B46"/>
    <w:rsid w:val="00877C36"/>
    <w:rsid w:val="0088496F"/>
    <w:rsid w:val="008854DA"/>
    <w:rsid w:val="00887179"/>
    <w:rsid w:val="008926D3"/>
    <w:rsid w:val="00894B12"/>
    <w:rsid w:val="008A05E9"/>
    <w:rsid w:val="008A108D"/>
    <w:rsid w:val="008A2504"/>
    <w:rsid w:val="008A3997"/>
    <w:rsid w:val="008A7E36"/>
    <w:rsid w:val="008B2E60"/>
    <w:rsid w:val="008B524C"/>
    <w:rsid w:val="008D1199"/>
    <w:rsid w:val="008E4D70"/>
    <w:rsid w:val="008F3F60"/>
    <w:rsid w:val="008F4F31"/>
    <w:rsid w:val="00901F01"/>
    <w:rsid w:val="00906886"/>
    <w:rsid w:val="0091029C"/>
    <w:rsid w:val="009110EB"/>
    <w:rsid w:val="009221C1"/>
    <w:rsid w:val="009221FE"/>
    <w:rsid w:val="00926F38"/>
    <w:rsid w:val="00927B97"/>
    <w:rsid w:val="00933083"/>
    <w:rsid w:val="00933F7B"/>
    <w:rsid w:val="00934B80"/>
    <w:rsid w:val="0093501B"/>
    <w:rsid w:val="0094083C"/>
    <w:rsid w:val="00946961"/>
    <w:rsid w:val="00950375"/>
    <w:rsid w:val="00954D64"/>
    <w:rsid w:val="00961CDC"/>
    <w:rsid w:val="00962046"/>
    <w:rsid w:val="00975EF9"/>
    <w:rsid w:val="00976D40"/>
    <w:rsid w:val="009810BE"/>
    <w:rsid w:val="00981D17"/>
    <w:rsid w:val="00984DD2"/>
    <w:rsid w:val="00987112"/>
    <w:rsid w:val="00991257"/>
    <w:rsid w:val="0099547E"/>
    <w:rsid w:val="00996EEF"/>
    <w:rsid w:val="009A11E1"/>
    <w:rsid w:val="009A388D"/>
    <w:rsid w:val="009A3D4A"/>
    <w:rsid w:val="009B7C85"/>
    <w:rsid w:val="009C060A"/>
    <w:rsid w:val="009C7030"/>
    <w:rsid w:val="009D1242"/>
    <w:rsid w:val="009D47D1"/>
    <w:rsid w:val="009D54CF"/>
    <w:rsid w:val="009E30CC"/>
    <w:rsid w:val="009E79AC"/>
    <w:rsid w:val="009F2F8F"/>
    <w:rsid w:val="009F474F"/>
    <w:rsid w:val="009F4AF3"/>
    <w:rsid w:val="009F6B4F"/>
    <w:rsid w:val="00A0094F"/>
    <w:rsid w:val="00A07D61"/>
    <w:rsid w:val="00A1032A"/>
    <w:rsid w:val="00A16228"/>
    <w:rsid w:val="00A21DF1"/>
    <w:rsid w:val="00A26B21"/>
    <w:rsid w:val="00A314BE"/>
    <w:rsid w:val="00A3686A"/>
    <w:rsid w:val="00A43730"/>
    <w:rsid w:val="00A54BD6"/>
    <w:rsid w:val="00A63088"/>
    <w:rsid w:val="00A7086C"/>
    <w:rsid w:val="00A71523"/>
    <w:rsid w:val="00A719E6"/>
    <w:rsid w:val="00A75E32"/>
    <w:rsid w:val="00A807FD"/>
    <w:rsid w:val="00A80B3F"/>
    <w:rsid w:val="00A836A0"/>
    <w:rsid w:val="00A84839"/>
    <w:rsid w:val="00A84B06"/>
    <w:rsid w:val="00A86443"/>
    <w:rsid w:val="00A92977"/>
    <w:rsid w:val="00A94D55"/>
    <w:rsid w:val="00AA22EC"/>
    <w:rsid w:val="00AA298A"/>
    <w:rsid w:val="00AA4636"/>
    <w:rsid w:val="00AB3025"/>
    <w:rsid w:val="00AB3333"/>
    <w:rsid w:val="00AB77F4"/>
    <w:rsid w:val="00AC0460"/>
    <w:rsid w:val="00AC28A6"/>
    <w:rsid w:val="00AC42FA"/>
    <w:rsid w:val="00AC557B"/>
    <w:rsid w:val="00AC6007"/>
    <w:rsid w:val="00AC6243"/>
    <w:rsid w:val="00AD0A44"/>
    <w:rsid w:val="00AD392E"/>
    <w:rsid w:val="00AD4B19"/>
    <w:rsid w:val="00AD5676"/>
    <w:rsid w:val="00AD653E"/>
    <w:rsid w:val="00AD72F1"/>
    <w:rsid w:val="00AD7A89"/>
    <w:rsid w:val="00AE2470"/>
    <w:rsid w:val="00AE4AB6"/>
    <w:rsid w:val="00AE553A"/>
    <w:rsid w:val="00AE5B3D"/>
    <w:rsid w:val="00B1188F"/>
    <w:rsid w:val="00B12AED"/>
    <w:rsid w:val="00B14B08"/>
    <w:rsid w:val="00B1580E"/>
    <w:rsid w:val="00B16556"/>
    <w:rsid w:val="00B209B4"/>
    <w:rsid w:val="00B22464"/>
    <w:rsid w:val="00B3072B"/>
    <w:rsid w:val="00B30905"/>
    <w:rsid w:val="00B31E7E"/>
    <w:rsid w:val="00B35D27"/>
    <w:rsid w:val="00B36F90"/>
    <w:rsid w:val="00B410F1"/>
    <w:rsid w:val="00B473CD"/>
    <w:rsid w:val="00B548FF"/>
    <w:rsid w:val="00B635A3"/>
    <w:rsid w:val="00B6610B"/>
    <w:rsid w:val="00B7395F"/>
    <w:rsid w:val="00B7444F"/>
    <w:rsid w:val="00B74CA3"/>
    <w:rsid w:val="00B87B07"/>
    <w:rsid w:val="00B91746"/>
    <w:rsid w:val="00B91B67"/>
    <w:rsid w:val="00B9585D"/>
    <w:rsid w:val="00BA1B09"/>
    <w:rsid w:val="00BA4BD9"/>
    <w:rsid w:val="00BA67B1"/>
    <w:rsid w:val="00BB0DA4"/>
    <w:rsid w:val="00BC32E1"/>
    <w:rsid w:val="00BC56E7"/>
    <w:rsid w:val="00BC5E92"/>
    <w:rsid w:val="00BD0455"/>
    <w:rsid w:val="00BD0ABF"/>
    <w:rsid w:val="00BD26FE"/>
    <w:rsid w:val="00BD31AD"/>
    <w:rsid w:val="00BD5A94"/>
    <w:rsid w:val="00BD6172"/>
    <w:rsid w:val="00BD6858"/>
    <w:rsid w:val="00BE1FE8"/>
    <w:rsid w:val="00BE2447"/>
    <w:rsid w:val="00BE4EA0"/>
    <w:rsid w:val="00BF02A8"/>
    <w:rsid w:val="00BF2D6F"/>
    <w:rsid w:val="00C00203"/>
    <w:rsid w:val="00C00C6D"/>
    <w:rsid w:val="00C01402"/>
    <w:rsid w:val="00C04FB2"/>
    <w:rsid w:val="00C0588A"/>
    <w:rsid w:val="00C1043D"/>
    <w:rsid w:val="00C134D5"/>
    <w:rsid w:val="00C21830"/>
    <w:rsid w:val="00C2316A"/>
    <w:rsid w:val="00C37CA1"/>
    <w:rsid w:val="00C40CAE"/>
    <w:rsid w:val="00C47F07"/>
    <w:rsid w:val="00C5162D"/>
    <w:rsid w:val="00C51CE3"/>
    <w:rsid w:val="00C541BE"/>
    <w:rsid w:val="00C55D25"/>
    <w:rsid w:val="00C60837"/>
    <w:rsid w:val="00C61478"/>
    <w:rsid w:val="00C63647"/>
    <w:rsid w:val="00C72C57"/>
    <w:rsid w:val="00C73F99"/>
    <w:rsid w:val="00C90D59"/>
    <w:rsid w:val="00C91EFA"/>
    <w:rsid w:val="00C92275"/>
    <w:rsid w:val="00CB1833"/>
    <w:rsid w:val="00CB1EAD"/>
    <w:rsid w:val="00CE042B"/>
    <w:rsid w:val="00CF6BD8"/>
    <w:rsid w:val="00D01B5E"/>
    <w:rsid w:val="00D02802"/>
    <w:rsid w:val="00D02A4D"/>
    <w:rsid w:val="00D02B6F"/>
    <w:rsid w:val="00D05209"/>
    <w:rsid w:val="00D14636"/>
    <w:rsid w:val="00D30DEE"/>
    <w:rsid w:val="00D322C1"/>
    <w:rsid w:val="00D332E6"/>
    <w:rsid w:val="00D34138"/>
    <w:rsid w:val="00D34387"/>
    <w:rsid w:val="00D3462C"/>
    <w:rsid w:val="00D41E0A"/>
    <w:rsid w:val="00D4269E"/>
    <w:rsid w:val="00D430E1"/>
    <w:rsid w:val="00D55FD5"/>
    <w:rsid w:val="00D56751"/>
    <w:rsid w:val="00D57847"/>
    <w:rsid w:val="00D602E1"/>
    <w:rsid w:val="00D6267E"/>
    <w:rsid w:val="00D65A05"/>
    <w:rsid w:val="00D70B44"/>
    <w:rsid w:val="00D807EF"/>
    <w:rsid w:val="00D83DEE"/>
    <w:rsid w:val="00D8651A"/>
    <w:rsid w:val="00D86669"/>
    <w:rsid w:val="00D877C2"/>
    <w:rsid w:val="00D91814"/>
    <w:rsid w:val="00DB0390"/>
    <w:rsid w:val="00DB3DFA"/>
    <w:rsid w:val="00DB6611"/>
    <w:rsid w:val="00DB76F2"/>
    <w:rsid w:val="00DC49DE"/>
    <w:rsid w:val="00DC5662"/>
    <w:rsid w:val="00DC5732"/>
    <w:rsid w:val="00DC5E6F"/>
    <w:rsid w:val="00DC7F0F"/>
    <w:rsid w:val="00DE559D"/>
    <w:rsid w:val="00E01D4D"/>
    <w:rsid w:val="00E01E0A"/>
    <w:rsid w:val="00E12B1F"/>
    <w:rsid w:val="00E3577C"/>
    <w:rsid w:val="00E40323"/>
    <w:rsid w:val="00E44AE6"/>
    <w:rsid w:val="00E44CCD"/>
    <w:rsid w:val="00E5041A"/>
    <w:rsid w:val="00E52250"/>
    <w:rsid w:val="00E5552A"/>
    <w:rsid w:val="00E55E25"/>
    <w:rsid w:val="00E56573"/>
    <w:rsid w:val="00E571A6"/>
    <w:rsid w:val="00E603E0"/>
    <w:rsid w:val="00E6148E"/>
    <w:rsid w:val="00E64D52"/>
    <w:rsid w:val="00E6702A"/>
    <w:rsid w:val="00E70CA9"/>
    <w:rsid w:val="00E7424D"/>
    <w:rsid w:val="00E74D69"/>
    <w:rsid w:val="00E85200"/>
    <w:rsid w:val="00E87304"/>
    <w:rsid w:val="00E950D5"/>
    <w:rsid w:val="00E96587"/>
    <w:rsid w:val="00EA0364"/>
    <w:rsid w:val="00EA1425"/>
    <w:rsid w:val="00EA6C23"/>
    <w:rsid w:val="00EB09D7"/>
    <w:rsid w:val="00EB7EC2"/>
    <w:rsid w:val="00EC2809"/>
    <w:rsid w:val="00EC4C20"/>
    <w:rsid w:val="00EC6AA1"/>
    <w:rsid w:val="00ED17D4"/>
    <w:rsid w:val="00ED722F"/>
    <w:rsid w:val="00EE1879"/>
    <w:rsid w:val="00EE368C"/>
    <w:rsid w:val="00EE3969"/>
    <w:rsid w:val="00EF743C"/>
    <w:rsid w:val="00EF7B49"/>
    <w:rsid w:val="00F01F0E"/>
    <w:rsid w:val="00F03CC9"/>
    <w:rsid w:val="00F0510E"/>
    <w:rsid w:val="00F11809"/>
    <w:rsid w:val="00F13BD3"/>
    <w:rsid w:val="00F16F19"/>
    <w:rsid w:val="00F23409"/>
    <w:rsid w:val="00F33E2E"/>
    <w:rsid w:val="00F3654A"/>
    <w:rsid w:val="00F36580"/>
    <w:rsid w:val="00F3669E"/>
    <w:rsid w:val="00F45E21"/>
    <w:rsid w:val="00F52264"/>
    <w:rsid w:val="00F54229"/>
    <w:rsid w:val="00F6354D"/>
    <w:rsid w:val="00F63FA7"/>
    <w:rsid w:val="00F665D4"/>
    <w:rsid w:val="00F67000"/>
    <w:rsid w:val="00F67001"/>
    <w:rsid w:val="00F712A7"/>
    <w:rsid w:val="00F71C33"/>
    <w:rsid w:val="00F72E6A"/>
    <w:rsid w:val="00F74A57"/>
    <w:rsid w:val="00F80CF2"/>
    <w:rsid w:val="00F833C1"/>
    <w:rsid w:val="00F86314"/>
    <w:rsid w:val="00F92159"/>
    <w:rsid w:val="00FA7A3D"/>
    <w:rsid w:val="00FB4CC8"/>
    <w:rsid w:val="00FC38C0"/>
    <w:rsid w:val="00FC66F0"/>
    <w:rsid w:val="00FE09E5"/>
    <w:rsid w:val="00FE3C97"/>
    <w:rsid w:val="00FE7192"/>
    <w:rsid w:val="00FF1F05"/>
    <w:rsid w:val="00FF1F81"/>
    <w:rsid w:val="00FF4B1C"/>
    <w:rsid w:val="00FF7F12"/>
    <w:rsid w:val="025538E0"/>
    <w:rsid w:val="029A38EC"/>
    <w:rsid w:val="02C866AB"/>
    <w:rsid w:val="02F94AB6"/>
    <w:rsid w:val="0301767A"/>
    <w:rsid w:val="034675D0"/>
    <w:rsid w:val="037B54CB"/>
    <w:rsid w:val="04207E21"/>
    <w:rsid w:val="042B250C"/>
    <w:rsid w:val="05531FE1"/>
    <w:rsid w:val="055E6E53"/>
    <w:rsid w:val="058F70B9"/>
    <w:rsid w:val="05C56ED2"/>
    <w:rsid w:val="069A3EBB"/>
    <w:rsid w:val="071B7C6E"/>
    <w:rsid w:val="07446BE7"/>
    <w:rsid w:val="077566D6"/>
    <w:rsid w:val="07F215E6"/>
    <w:rsid w:val="080F6C15"/>
    <w:rsid w:val="081128A2"/>
    <w:rsid w:val="088369A1"/>
    <w:rsid w:val="090221EB"/>
    <w:rsid w:val="090B72F2"/>
    <w:rsid w:val="09293C1C"/>
    <w:rsid w:val="09491BC8"/>
    <w:rsid w:val="098F7F23"/>
    <w:rsid w:val="09C928C9"/>
    <w:rsid w:val="09D9119E"/>
    <w:rsid w:val="09F27BCC"/>
    <w:rsid w:val="0A4707FD"/>
    <w:rsid w:val="0ABA0FCF"/>
    <w:rsid w:val="0ABF7E3D"/>
    <w:rsid w:val="0B6A58F3"/>
    <w:rsid w:val="0B723658"/>
    <w:rsid w:val="0BD55995"/>
    <w:rsid w:val="0BDC6136"/>
    <w:rsid w:val="0BF40511"/>
    <w:rsid w:val="0C085D6A"/>
    <w:rsid w:val="0C30706F"/>
    <w:rsid w:val="0C6531BD"/>
    <w:rsid w:val="0D1F336B"/>
    <w:rsid w:val="0D4234FE"/>
    <w:rsid w:val="0D847672"/>
    <w:rsid w:val="0D951880"/>
    <w:rsid w:val="0E682AF0"/>
    <w:rsid w:val="0F317386"/>
    <w:rsid w:val="10153E43"/>
    <w:rsid w:val="102962AF"/>
    <w:rsid w:val="103645E6"/>
    <w:rsid w:val="103C4234"/>
    <w:rsid w:val="11592BC4"/>
    <w:rsid w:val="115B2DE0"/>
    <w:rsid w:val="11E509E6"/>
    <w:rsid w:val="12192A7F"/>
    <w:rsid w:val="121D3BF2"/>
    <w:rsid w:val="133E02C4"/>
    <w:rsid w:val="134C2F0D"/>
    <w:rsid w:val="138959E3"/>
    <w:rsid w:val="13B3480E"/>
    <w:rsid w:val="14593607"/>
    <w:rsid w:val="1470211F"/>
    <w:rsid w:val="151614F8"/>
    <w:rsid w:val="15190FE8"/>
    <w:rsid w:val="151B6B0E"/>
    <w:rsid w:val="15C33E59"/>
    <w:rsid w:val="166E7112"/>
    <w:rsid w:val="16814BAC"/>
    <w:rsid w:val="16900E36"/>
    <w:rsid w:val="16E55626"/>
    <w:rsid w:val="178A3AD7"/>
    <w:rsid w:val="17942BA8"/>
    <w:rsid w:val="183B2742"/>
    <w:rsid w:val="18455C50"/>
    <w:rsid w:val="187A3B4C"/>
    <w:rsid w:val="18A60DE5"/>
    <w:rsid w:val="18C82B09"/>
    <w:rsid w:val="1910625E"/>
    <w:rsid w:val="19456567"/>
    <w:rsid w:val="1A5F124B"/>
    <w:rsid w:val="1AA41F44"/>
    <w:rsid w:val="1AA50C28"/>
    <w:rsid w:val="1AB175CD"/>
    <w:rsid w:val="1AE9320B"/>
    <w:rsid w:val="1B017AD5"/>
    <w:rsid w:val="1B277546"/>
    <w:rsid w:val="1B3C77DE"/>
    <w:rsid w:val="1BE35EAC"/>
    <w:rsid w:val="1BEA548C"/>
    <w:rsid w:val="1C5E5533"/>
    <w:rsid w:val="1CC45CDD"/>
    <w:rsid w:val="1D430DF6"/>
    <w:rsid w:val="1EB450CA"/>
    <w:rsid w:val="1EDC730E"/>
    <w:rsid w:val="1FD61FB0"/>
    <w:rsid w:val="20B10327"/>
    <w:rsid w:val="217A2E0F"/>
    <w:rsid w:val="219D6BEB"/>
    <w:rsid w:val="21F7620D"/>
    <w:rsid w:val="224E413C"/>
    <w:rsid w:val="226160C7"/>
    <w:rsid w:val="22CC769A"/>
    <w:rsid w:val="234B6811"/>
    <w:rsid w:val="23B343B6"/>
    <w:rsid w:val="23B56380"/>
    <w:rsid w:val="24187D12"/>
    <w:rsid w:val="244F40DF"/>
    <w:rsid w:val="2480698E"/>
    <w:rsid w:val="249266C1"/>
    <w:rsid w:val="24A85C06"/>
    <w:rsid w:val="24AE0B59"/>
    <w:rsid w:val="24E707BB"/>
    <w:rsid w:val="25106311"/>
    <w:rsid w:val="252834A8"/>
    <w:rsid w:val="25306651"/>
    <w:rsid w:val="256C6F12"/>
    <w:rsid w:val="25E436A3"/>
    <w:rsid w:val="2650413E"/>
    <w:rsid w:val="26663961"/>
    <w:rsid w:val="26667E05"/>
    <w:rsid w:val="2668592C"/>
    <w:rsid w:val="26ED1A85"/>
    <w:rsid w:val="26F15165"/>
    <w:rsid w:val="26FB1F73"/>
    <w:rsid w:val="27842D4F"/>
    <w:rsid w:val="27E62FAC"/>
    <w:rsid w:val="28373807"/>
    <w:rsid w:val="29053906"/>
    <w:rsid w:val="290B52DC"/>
    <w:rsid w:val="2A1C0F07"/>
    <w:rsid w:val="2A4D7312"/>
    <w:rsid w:val="2AB033FD"/>
    <w:rsid w:val="2AB54EB7"/>
    <w:rsid w:val="2B191C97"/>
    <w:rsid w:val="2B7B7EAF"/>
    <w:rsid w:val="2B8164E5"/>
    <w:rsid w:val="2C61079F"/>
    <w:rsid w:val="2D2A56E9"/>
    <w:rsid w:val="2D594220"/>
    <w:rsid w:val="2D940DB4"/>
    <w:rsid w:val="2DA13E51"/>
    <w:rsid w:val="2DB66F7C"/>
    <w:rsid w:val="2E4E5407"/>
    <w:rsid w:val="2E7330BF"/>
    <w:rsid w:val="2E9F5C62"/>
    <w:rsid w:val="2EAE40F8"/>
    <w:rsid w:val="2F261EE0"/>
    <w:rsid w:val="2F266384"/>
    <w:rsid w:val="2F2C33B5"/>
    <w:rsid w:val="2F725312"/>
    <w:rsid w:val="305B740B"/>
    <w:rsid w:val="30717AD3"/>
    <w:rsid w:val="30B11C7D"/>
    <w:rsid w:val="31210BB1"/>
    <w:rsid w:val="3125283E"/>
    <w:rsid w:val="31CD6F8B"/>
    <w:rsid w:val="31DD71CE"/>
    <w:rsid w:val="31E57E30"/>
    <w:rsid w:val="3239017C"/>
    <w:rsid w:val="323A4620"/>
    <w:rsid w:val="32D63C1D"/>
    <w:rsid w:val="32EE0F67"/>
    <w:rsid w:val="33670A20"/>
    <w:rsid w:val="348A2F11"/>
    <w:rsid w:val="34B60CAA"/>
    <w:rsid w:val="34BA1A48"/>
    <w:rsid w:val="34CE2DFE"/>
    <w:rsid w:val="34D128EE"/>
    <w:rsid w:val="35103416"/>
    <w:rsid w:val="351C3EDD"/>
    <w:rsid w:val="35433B44"/>
    <w:rsid w:val="35496928"/>
    <w:rsid w:val="35571045"/>
    <w:rsid w:val="35E6686D"/>
    <w:rsid w:val="363D36D3"/>
    <w:rsid w:val="366B28CE"/>
    <w:rsid w:val="36AA789A"/>
    <w:rsid w:val="370A6378"/>
    <w:rsid w:val="379C71E3"/>
    <w:rsid w:val="37B71EE9"/>
    <w:rsid w:val="37DE5A4E"/>
    <w:rsid w:val="38E22EEA"/>
    <w:rsid w:val="38F848ED"/>
    <w:rsid w:val="390A6503"/>
    <w:rsid w:val="39CD5D7A"/>
    <w:rsid w:val="39DE1D35"/>
    <w:rsid w:val="3B954675"/>
    <w:rsid w:val="3BC9314C"/>
    <w:rsid w:val="3C320116"/>
    <w:rsid w:val="3C7E15AD"/>
    <w:rsid w:val="3D402D06"/>
    <w:rsid w:val="3DA55360"/>
    <w:rsid w:val="3DD551FD"/>
    <w:rsid w:val="3EC51377"/>
    <w:rsid w:val="3ED74162"/>
    <w:rsid w:val="3F1E4982"/>
    <w:rsid w:val="3F683C2C"/>
    <w:rsid w:val="4021297B"/>
    <w:rsid w:val="405C7E57"/>
    <w:rsid w:val="41272213"/>
    <w:rsid w:val="420D0196"/>
    <w:rsid w:val="423A5F76"/>
    <w:rsid w:val="427F7E2D"/>
    <w:rsid w:val="42BA70B7"/>
    <w:rsid w:val="442A3DC9"/>
    <w:rsid w:val="444F3E62"/>
    <w:rsid w:val="44C63AF1"/>
    <w:rsid w:val="450D2A55"/>
    <w:rsid w:val="454A4722"/>
    <w:rsid w:val="454F7F8B"/>
    <w:rsid w:val="46144D30"/>
    <w:rsid w:val="467D28D5"/>
    <w:rsid w:val="46B67B95"/>
    <w:rsid w:val="48802209"/>
    <w:rsid w:val="49301412"/>
    <w:rsid w:val="49303C2F"/>
    <w:rsid w:val="4961028C"/>
    <w:rsid w:val="49942410"/>
    <w:rsid w:val="49EB5520"/>
    <w:rsid w:val="4A0E35CE"/>
    <w:rsid w:val="4A2C089A"/>
    <w:rsid w:val="4A4A2ACF"/>
    <w:rsid w:val="4A5F4C31"/>
    <w:rsid w:val="4B3043BA"/>
    <w:rsid w:val="4B6E046B"/>
    <w:rsid w:val="4B9D30D2"/>
    <w:rsid w:val="4C577725"/>
    <w:rsid w:val="4C910E89"/>
    <w:rsid w:val="4CCE44D4"/>
    <w:rsid w:val="4D6435A3"/>
    <w:rsid w:val="4D6D36A4"/>
    <w:rsid w:val="4DEF79D5"/>
    <w:rsid w:val="4E347D1E"/>
    <w:rsid w:val="4E606D65"/>
    <w:rsid w:val="4EA76741"/>
    <w:rsid w:val="4EBC7D13"/>
    <w:rsid w:val="4F1F09CE"/>
    <w:rsid w:val="4FF359B6"/>
    <w:rsid w:val="5012408F"/>
    <w:rsid w:val="50F9524E"/>
    <w:rsid w:val="510F05CE"/>
    <w:rsid w:val="51312C3A"/>
    <w:rsid w:val="51A056CA"/>
    <w:rsid w:val="51BE74DD"/>
    <w:rsid w:val="51C92E73"/>
    <w:rsid w:val="51F7178E"/>
    <w:rsid w:val="524E02B9"/>
    <w:rsid w:val="526A3007"/>
    <w:rsid w:val="531620E8"/>
    <w:rsid w:val="531E71EE"/>
    <w:rsid w:val="5338243A"/>
    <w:rsid w:val="539B083F"/>
    <w:rsid w:val="53A05E55"/>
    <w:rsid w:val="53AD3BD4"/>
    <w:rsid w:val="54432556"/>
    <w:rsid w:val="5449029B"/>
    <w:rsid w:val="54493DF7"/>
    <w:rsid w:val="54C94F38"/>
    <w:rsid w:val="54E06C7C"/>
    <w:rsid w:val="54EC75A4"/>
    <w:rsid w:val="551B3A9C"/>
    <w:rsid w:val="55284700"/>
    <w:rsid w:val="55FC3817"/>
    <w:rsid w:val="565C2507"/>
    <w:rsid w:val="571F7091"/>
    <w:rsid w:val="57D52571"/>
    <w:rsid w:val="58543FE0"/>
    <w:rsid w:val="58694A68"/>
    <w:rsid w:val="58984709"/>
    <w:rsid w:val="589870FB"/>
    <w:rsid w:val="58E16CF4"/>
    <w:rsid w:val="59486D73"/>
    <w:rsid w:val="596811C3"/>
    <w:rsid w:val="5A3B27EE"/>
    <w:rsid w:val="5A822E72"/>
    <w:rsid w:val="5AD07020"/>
    <w:rsid w:val="5B4D241F"/>
    <w:rsid w:val="5B57329D"/>
    <w:rsid w:val="5BE03B64"/>
    <w:rsid w:val="5BF31218"/>
    <w:rsid w:val="5C1D0043"/>
    <w:rsid w:val="5C45759A"/>
    <w:rsid w:val="5C5679F9"/>
    <w:rsid w:val="5C58551F"/>
    <w:rsid w:val="5D221689"/>
    <w:rsid w:val="5D5E23FD"/>
    <w:rsid w:val="5D704AEA"/>
    <w:rsid w:val="5D7A4E55"/>
    <w:rsid w:val="5D7E0210"/>
    <w:rsid w:val="5E6C52B2"/>
    <w:rsid w:val="5EEB2751"/>
    <w:rsid w:val="5F192631"/>
    <w:rsid w:val="5F535CC2"/>
    <w:rsid w:val="5FB774B1"/>
    <w:rsid w:val="601A4804"/>
    <w:rsid w:val="60A26D69"/>
    <w:rsid w:val="61045C75"/>
    <w:rsid w:val="610F7481"/>
    <w:rsid w:val="612B3202"/>
    <w:rsid w:val="62426A55"/>
    <w:rsid w:val="626F711E"/>
    <w:rsid w:val="62F31AFE"/>
    <w:rsid w:val="63400ABB"/>
    <w:rsid w:val="637C5473"/>
    <w:rsid w:val="63864720"/>
    <w:rsid w:val="63A23524"/>
    <w:rsid w:val="641A4B2C"/>
    <w:rsid w:val="644B19BE"/>
    <w:rsid w:val="64B46ABA"/>
    <w:rsid w:val="64C64FF0"/>
    <w:rsid w:val="64E536C8"/>
    <w:rsid w:val="65143FAD"/>
    <w:rsid w:val="65904EE3"/>
    <w:rsid w:val="65A05841"/>
    <w:rsid w:val="66326DE1"/>
    <w:rsid w:val="666954A9"/>
    <w:rsid w:val="66F145A6"/>
    <w:rsid w:val="670D5158"/>
    <w:rsid w:val="679C1AA4"/>
    <w:rsid w:val="67CC0B6F"/>
    <w:rsid w:val="68141A96"/>
    <w:rsid w:val="68481057"/>
    <w:rsid w:val="685E210F"/>
    <w:rsid w:val="690A2C07"/>
    <w:rsid w:val="692A0243"/>
    <w:rsid w:val="69670B4F"/>
    <w:rsid w:val="696A6892"/>
    <w:rsid w:val="696F7AAD"/>
    <w:rsid w:val="69C441F4"/>
    <w:rsid w:val="69F745C9"/>
    <w:rsid w:val="6A2C4BDD"/>
    <w:rsid w:val="6A3D723E"/>
    <w:rsid w:val="6A6E4160"/>
    <w:rsid w:val="6A8D6CDC"/>
    <w:rsid w:val="6AA53ED8"/>
    <w:rsid w:val="6B6A50F6"/>
    <w:rsid w:val="6B7439F8"/>
    <w:rsid w:val="6B9B2D32"/>
    <w:rsid w:val="6BFC6C5F"/>
    <w:rsid w:val="6C292A34"/>
    <w:rsid w:val="6C2B055A"/>
    <w:rsid w:val="6C81461E"/>
    <w:rsid w:val="6CBF5146"/>
    <w:rsid w:val="6D2711FC"/>
    <w:rsid w:val="6D567A9A"/>
    <w:rsid w:val="6D9D74E7"/>
    <w:rsid w:val="6DD62748"/>
    <w:rsid w:val="6E2214E9"/>
    <w:rsid w:val="6E5E0439"/>
    <w:rsid w:val="6E761835"/>
    <w:rsid w:val="6E951086"/>
    <w:rsid w:val="6EA168B2"/>
    <w:rsid w:val="6ED80308"/>
    <w:rsid w:val="6F0532E4"/>
    <w:rsid w:val="6F196D90"/>
    <w:rsid w:val="6F3B6D06"/>
    <w:rsid w:val="6F512102"/>
    <w:rsid w:val="709C0223"/>
    <w:rsid w:val="709D7A19"/>
    <w:rsid w:val="70DA254F"/>
    <w:rsid w:val="70F829D5"/>
    <w:rsid w:val="711A294B"/>
    <w:rsid w:val="712C1171"/>
    <w:rsid w:val="71AF7537"/>
    <w:rsid w:val="71BE777B"/>
    <w:rsid w:val="721D26F3"/>
    <w:rsid w:val="72A46970"/>
    <w:rsid w:val="72B017B9"/>
    <w:rsid w:val="72B648F6"/>
    <w:rsid w:val="73622537"/>
    <w:rsid w:val="73D94D40"/>
    <w:rsid w:val="73E77409"/>
    <w:rsid w:val="747A0101"/>
    <w:rsid w:val="74C65D9D"/>
    <w:rsid w:val="74FD05BA"/>
    <w:rsid w:val="75636D61"/>
    <w:rsid w:val="756845CD"/>
    <w:rsid w:val="75A46F31"/>
    <w:rsid w:val="75D43A11"/>
    <w:rsid w:val="760D2A7F"/>
    <w:rsid w:val="762027B2"/>
    <w:rsid w:val="765C57B4"/>
    <w:rsid w:val="76992564"/>
    <w:rsid w:val="76F61765"/>
    <w:rsid w:val="77B75398"/>
    <w:rsid w:val="77EB3293"/>
    <w:rsid w:val="789B25C4"/>
    <w:rsid w:val="78CB500E"/>
    <w:rsid w:val="790E7239"/>
    <w:rsid w:val="79786DA9"/>
    <w:rsid w:val="79A454A8"/>
    <w:rsid w:val="7A1C5986"/>
    <w:rsid w:val="7AFA17EA"/>
    <w:rsid w:val="7B6273C9"/>
    <w:rsid w:val="7BB8348D"/>
    <w:rsid w:val="7BC41E31"/>
    <w:rsid w:val="7C4B5A52"/>
    <w:rsid w:val="7C9E2682"/>
    <w:rsid w:val="7D080444"/>
    <w:rsid w:val="7DB008BF"/>
    <w:rsid w:val="7DD6409E"/>
    <w:rsid w:val="7DDB16B4"/>
    <w:rsid w:val="7DDC4F49"/>
    <w:rsid w:val="7E0E1A8A"/>
    <w:rsid w:val="7E2D7A48"/>
    <w:rsid w:val="7E3A63DB"/>
    <w:rsid w:val="7F120D79"/>
    <w:rsid w:val="7FCB5E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name="index 1"/>
    <w:lsdException w:qFormat="1" w:unhideWhenUsed="0"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iPriority="0" w:name="footnote text"/>
    <w:lsdException w:qFormat="1" w:uiPriority="0" w:semiHidden="0" w:name="annotation text"/>
    <w:lsdException w:qFormat="1" w:uiPriority="99" w:semiHidden="0" w:name="header"/>
    <w:lsdException w:qFormat="1" w:uiPriority="99" w:semiHidden="0" w:name="footer"/>
    <w:lsdException w:qFormat="1" w:uiPriority="0" w:name="index heading"/>
    <w:lsdException w:qFormat="1" w:uiPriority="0" w:semiHidden="0" w:name="caption"/>
    <w:lsdException w:qFormat="1" w:uiPriority="0" w:name="table of figures"/>
    <w:lsdException w:qFormat="1" w:unhideWhenUsed="0" w:uiPriority="0" w:semiHidden="0" w:name="envelope address"/>
    <w:lsdException w:qFormat="1" w:unhideWhenUsed="0" w:uiPriority="0" w:semiHidden="0" w:name="envelope return"/>
    <w:lsdException w:qFormat="1"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name="endnote text"/>
    <w:lsdException w:qFormat="1" w:uiPriority="0" w:name="table of authorities"/>
    <w:lsdException w:qFormat="1" w:unhideWhenUsed="0" w:uiPriority="0" w:name="macro"/>
    <w:lsdException w:qFormat="1"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86"/>
    <w:qFormat/>
    <w:uiPriority w:val="9"/>
    <w:pPr>
      <w:keepNext/>
      <w:widowControl/>
      <w:spacing w:before="240" w:after="60"/>
      <w:jc w:val="left"/>
      <w:outlineLvl w:val="0"/>
    </w:pPr>
    <w:rPr>
      <w:rFonts w:cs="宋体" w:asciiTheme="majorHAnsi" w:hAnsiTheme="majorHAnsi" w:eastAsiaTheme="majorEastAsia"/>
      <w:b/>
      <w:bCs/>
      <w:kern w:val="32"/>
      <w:sz w:val="32"/>
      <w:szCs w:val="32"/>
      <w:lang w:eastAsia="en-US" w:bidi="en-US"/>
    </w:rPr>
  </w:style>
  <w:style w:type="paragraph" w:styleId="4">
    <w:name w:val="heading 2"/>
    <w:basedOn w:val="1"/>
    <w:next w:val="1"/>
    <w:link w:val="87"/>
    <w:unhideWhenUsed/>
    <w:qFormat/>
    <w:uiPriority w:val="0"/>
    <w:pPr>
      <w:keepNext/>
      <w:widowControl/>
      <w:spacing w:before="240" w:after="60"/>
      <w:jc w:val="left"/>
      <w:outlineLvl w:val="1"/>
    </w:pPr>
    <w:rPr>
      <w:rFonts w:cs="Times New Roman" w:asciiTheme="majorHAnsi" w:hAnsiTheme="majorHAnsi" w:eastAsiaTheme="majorEastAsia"/>
      <w:b/>
      <w:bCs/>
      <w:i/>
      <w:iCs/>
      <w:kern w:val="0"/>
      <w:sz w:val="28"/>
      <w:szCs w:val="28"/>
      <w:lang w:eastAsia="en-US" w:bidi="en-US"/>
    </w:rPr>
  </w:style>
  <w:style w:type="paragraph" w:styleId="5">
    <w:name w:val="heading 3"/>
    <w:basedOn w:val="1"/>
    <w:next w:val="1"/>
    <w:link w:val="88"/>
    <w:unhideWhenUsed/>
    <w:qFormat/>
    <w:uiPriority w:val="0"/>
    <w:pPr>
      <w:keepNext/>
      <w:widowControl/>
      <w:spacing w:before="240" w:after="60"/>
      <w:jc w:val="left"/>
      <w:outlineLvl w:val="2"/>
    </w:pPr>
    <w:rPr>
      <w:rFonts w:cs="Times New Roman" w:asciiTheme="majorHAnsi" w:hAnsiTheme="majorHAnsi" w:eastAsiaTheme="majorEastAsia"/>
      <w:b/>
      <w:bCs/>
      <w:kern w:val="0"/>
      <w:sz w:val="26"/>
      <w:szCs w:val="26"/>
      <w:lang w:eastAsia="en-US" w:bidi="en-US"/>
    </w:rPr>
  </w:style>
  <w:style w:type="paragraph" w:styleId="6">
    <w:name w:val="heading 4"/>
    <w:basedOn w:val="1"/>
    <w:next w:val="1"/>
    <w:link w:val="89"/>
    <w:unhideWhenUsed/>
    <w:qFormat/>
    <w:uiPriority w:val="0"/>
    <w:pPr>
      <w:keepNext/>
      <w:widowControl/>
      <w:spacing w:before="240" w:after="60"/>
      <w:jc w:val="left"/>
      <w:outlineLvl w:val="3"/>
    </w:pPr>
    <w:rPr>
      <w:rFonts w:cs="Times New Roman"/>
      <w:b/>
      <w:bCs/>
      <w:kern w:val="0"/>
      <w:sz w:val="28"/>
      <w:szCs w:val="28"/>
      <w:lang w:eastAsia="en-US" w:bidi="en-US"/>
    </w:rPr>
  </w:style>
  <w:style w:type="paragraph" w:styleId="7">
    <w:name w:val="heading 5"/>
    <w:basedOn w:val="1"/>
    <w:next w:val="1"/>
    <w:link w:val="90"/>
    <w:unhideWhenUsed/>
    <w:qFormat/>
    <w:uiPriority w:val="0"/>
    <w:pPr>
      <w:widowControl/>
      <w:spacing w:before="240" w:after="60"/>
      <w:jc w:val="left"/>
      <w:outlineLvl w:val="4"/>
    </w:pPr>
    <w:rPr>
      <w:rFonts w:cs="Times New Roman"/>
      <w:b/>
      <w:bCs/>
      <w:i/>
      <w:iCs/>
      <w:kern w:val="0"/>
      <w:sz w:val="26"/>
      <w:szCs w:val="26"/>
      <w:lang w:eastAsia="en-US" w:bidi="en-US"/>
    </w:rPr>
  </w:style>
  <w:style w:type="paragraph" w:styleId="8">
    <w:name w:val="heading 6"/>
    <w:basedOn w:val="1"/>
    <w:next w:val="1"/>
    <w:link w:val="91"/>
    <w:unhideWhenUsed/>
    <w:qFormat/>
    <w:uiPriority w:val="0"/>
    <w:pPr>
      <w:widowControl/>
      <w:spacing w:before="240" w:after="60"/>
      <w:jc w:val="left"/>
      <w:outlineLvl w:val="5"/>
    </w:pPr>
    <w:rPr>
      <w:rFonts w:cs="Times New Roman"/>
      <w:b/>
      <w:bCs/>
      <w:kern w:val="0"/>
      <w:sz w:val="22"/>
      <w:lang w:eastAsia="en-US" w:bidi="en-US"/>
    </w:rPr>
  </w:style>
  <w:style w:type="paragraph" w:styleId="9">
    <w:name w:val="heading 7"/>
    <w:basedOn w:val="1"/>
    <w:next w:val="1"/>
    <w:link w:val="92"/>
    <w:unhideWhenUsed/>
    <w:qFormat/>
    <w:uiPriority w:val="0"/>
    <w:pPr>
      <w:widowControl/>
      <w:spacing w:before="240" w:after="60"/>
      <w:jc w:val="left"/>
      <w:outlineLvl w:val="6"/>
    </w:pPr>
    <w:rPr>
      <w:rFonts w:cs="Times New Roman"/>
      <w:kern w:val="0"/>
      <w:sz w:val="24"/>
      <w:szCs w:val="24"/>
      <w:lang w:eastAsia="en-US" w:bidi="en-US"/>
    </w:rPr>
  </w:style>
  <w:style w:type="paragraph" w:styleId="10">
    <w:name w:val="heading 8"/>
    <w:basedOn w:val="1"/>
    <w:next w:val="1"/>
    <w:link w:val="93"/>
    <w:unhideWhenUsed/>
    <w:qFormat/>
    <w:uiPriority w:val="0"/>
    <w:pPr>
      <w:widowControl/>
      <w:spacing w:before="240" w:after="60"/>
      <w:jc w:val="left"/>
      <w:outlineLvl w:val="7"/>
    </w:pPr>
    <w:rPr>
      <w:rFonts w:cs="Times New Roman"/>
      <w:i/>
      <w:iCs/>
      <w:kern w:val="0"/>
      <w:sz w:val="24"/>
      <w:szCs w:val="24"/>
      <w:lang w:eastAsia="en-US" w:bidi="en-US"/>
    </w:rPr>
  </w:style>
  <w:style w:type="paragraph" w:styleId="11">
    <w:name w:val="heading 9"/>
    <w:basedOn w:val="1"/>
    <w:next w:val="1"/>
    <w:link w:val="94"/>
    <w:unhideWhenUsed/>
    <w:qFormat/>
    <w:uiPriority w:val="0"/>
    <w:pPr>
      <w:widowControl/>
      <w:spacing w:before="240" w:after="60"/>
      <w:jc w:val="left"/>
      <w:outlineLvl w:val="8"/>
    </w:pPr>
    <w:rPr>
      <w:rFonts w:cs="Times New Roman" w:asciiTheme="majorHAnsi" w:hAnsiTheme="majorHAnsi" w:eastAsiaTheme="majorEastAsia"/>
      <w:kern w:val="0"/>
      <w:sz w:val="22"/>
      <w:lang w:eastAsia="en-US" w:bidi="en-US"/>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2">
    <w:name w:val="macro"/>
    <w:link w:val="154"/>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uiPriority w:val="0"/>
    <w:pPr>
      <w:ind w:left="100" w:leftChars="400" w:hanging="200" w:hangingChars="200"/>
    </w:pPr>
    <w:rPr>
      <w:rFonts w:ascii="Times New Roman" w:hAnsi="Times New Roman" w:eastAsia="宋体" w:cs="Times New Roman"/>
      <w:szCs w:val="24"/>
    </w:rPr>
  </w:style>
  <w:style w:type="paragraph" w:styleId="13">
    <w:name w:val="toc 7"/>
    <w:basedOn w:val="1"/>
    <w:next w:val="1"/>
    <w:unhideWhenUsed/>
    <w:qFormat/>
    <w:uiPriority w:val="0"/>
    <w:pPr>
      <w:ind w:left="1260"/>
      <w:jc w:val="left"/>
    </w:pPr>
    <w:rPr>
      <w:rFonts w:cstheme="minorHAnsi"/>
      <w:sz w:val="18"/>
      <w:szCs w:val="18"/>
    </w:rPr>
  </w:style>
  <w:style w:type="paragraph" w:styleId="14">
    <w:name w:val="List Number 2"/>
    <w:basedOn w:val="1"/>
    <w:qFormat/>
    <w:uiPriority w:val="0"/>
    <w:pPr>
      <w:tabs>
        <w:tab w:val="left" w:pos="659"/>
        <w:tab w:val="left" w:pos="780"/>
      </w:tabs>
      <w:ind w:left="659" w:hanging="375"/>
    </w:pPr>
    <w:rPr>
      <w:rFonts w:ascii="Times New Roman" w:hAnsi="Times New Roman" w:eastAsia="宋体" w:cs="Times New Roman"/>
      <w:szCs w:val="24"/>
    </w:rPr>
  </w:style>
  <w:style w:type="paragraph" w:styleId="15">
    <w:name w:val="Note Heading"/>
    <w:basedOn w:val="1"/>
    <w:next w:val="1"/>
    <w:link w:val="155"/>
    <w:qFormat/>
    <w:uiPriority w:val="0"/>
    <w:pPr>
      <w:jc w:val="center"/>
    </w:pPr>
    <w:rPr>
      <w:rFonts w:ascii="Times New Roman" w:hAnsi="Times New Roman" w:eastAsia="宋体" w:cs="Times New Roman"/>
      <w:szCs w:val="24"/>
    </w:rPr>
  </w:style>
  <w:style w:type="paragraph" w:styleId="16">
    <w:name w:val="List Bullet 4"/>
    <w:basedOn w:val="1"/>
    <w:qFormat/>
    <w:uiPriority w:val="0"/>
    <w:pPr>
      <w:tabs>
        <w:tab w:val="left" w:pos="659"/>
        <w:tab w:val="left" w:pos="1620"/>
      </w:tabs>
      <w:ind w:left="659" w:hanging="375"/>
    </w:pPr>
    <w:rPr>
      <w:rFonts w:ascii="Times New Roman" w:hAnsi="Times New Roman" w:eastAsia="宋体" w:cs="Times New Roman"/>
      <w:szCs w:val="24"/>
    </w:rPr>
  </w:style>
  <w:style w:type="paragraph" w:styleId="17">
    <w:name w:val="E-mail Signature"/>
    <w:basedOn w:val="1"/>
    <w:link w:val="156"/>
    <w:qFormat/>
    <w:uiPriority w:val="0"/>
    <w:rPr>
      <w:rFonts w:ascii="Times New Roman" w:hAnsi="Times New Roman" w:eastAsia="宋体" w:cs="Times New Roman"/>
      <w:szCs w:val="24"/>
    </w:rPr>
  </w:style>
  <w:style w:type="paragraph" w:styleId="18">
    <w:name w:val="List Number"/>
    <w:basedOn w:val="1"/>
    <w:qFormat/>
    <w:uiPriority w:val="0"/>
    <w:pPr>
      <w:tabs>
        <w:tab w:val="left" w:pos="360"/>
        <w:tab w:val="left" w:pos="659"/>
      </w:tabs>
      <w:ind w:left="659" w:hanging="375"/>
    </w:pPr>
    <w:rPr>
      <w:rFonts w:ascii="Times New Roman" w:hAnsi="Times New Roman" w:eastAsia="宋体" w:cs="Times New Roman"/>
      <w:szCs w:val="24"/>
    </w:rPr>
  </w:style>
  <w:style w:type="paragraph" w:styleId="19">
    <w:name w:val="Normal Indent"/>
    <w:basedOn w:val="1"/>
    <w:qFormat/>
    <w:uiPriority w:val="0"/>
    <w:pPr>
      <w:ind w:firstLine="420" w:firstLineChars="200"/>
    </w:pPr>
    <w:rPr>
      <w:rFonts w:ascii="Times New Roman" w:hAnsi="Times New Roman" w:eastAsia="宋体" w:cs="Times New Roman"/>
      <w:szCs w:val="24"/>
    </w:rPr>
  </w:style>
  <w:style w:type="paragraph" w:styleId="20">
    <w:name w:val="caption"/>
    <w:basedOn w:val="1"/>
    <w:next w:val="1"/>
    <w:unhideWhenUsed/>
    <w:qFormat/>
    <w:uiPriority w:val="0"/>
    <w:rPr>
      <w:rFonts w:eastAsia="黑体" w:asciiTheme="majorHAnsi" w:hAnsiTheme="majorHAnsi" w:cstheme="majorBidi"/>
      <w:sz w:val="20"/>
      <w:szCs w:val="20"/>
    </w:rPr>
  </w:style>
  <w:style w:type="paragraph" w:styleId="21">
    <w:name w:val="List Bullet"/>
    <w:basedOn w:val="1"/>
    <w:qFormat/>
    <w:uiPriority w:val="0"/>
    <w:pPr>
      <w:tabs>
        <w:tab w:val="left" w:pos="360"/>
        <w:tab w:val="left" w:pos="659"/>
      </w:tabs>
      <w:ind w:left="659" w:hanging="375"/>
    </w:pPr>
    <w:rPr>
      <w:rFonts w:ascii="Times New Roman" w:hAnsi="Times New Roman" w:eastAsia="宋体" w:cs="Times New Roman"/>
      <w:szCs w:val="24"/>
    </w:rPr>
  </w:style>
  <w:style w:type="paragraph" w:styleId="22">
    <w:name w:val="envelope address"/>
    <w:basedOn w:val="1"/>
    <w:qFormat/>
    <w:uiPriority w:val="0"/>
    <w:pPr>
      <w:snapToGrid w:val="0"/>
      <w:ind w:left="100" w:leftChars="1400"/>
    </w:pPr>
    <w:rPr>
      <w:rFonts w:ascii="Arial" w:hAnsi="Arial" w:eastAsia="宋体" w:cs="Arial"/>
      <w:sz w:val="24"/>
      <w:szCs w:val="24"/>
    </w:rPr>
  </w:style>
  <w:style w:type="paragraph" w:styleId="23">
    <w:name w:val="Document Map"/>
    <w:basedOn w:val="1"/>
    <w:link w:val="95"/>
    <w:semiHidden/>
    <w:unhideWhenUsed/>
    <w:qFormat/>
    <w:uiPriority w:val="0"/>
    <w:pPr>
      <w:widowControl/>
      <w:jc w:val="left"/>
    </w:pPr>
    <w:rPr>
      <w:rFonts w:ascii="宋体" w:cs="Times New Roman"/>
      <w:kern w:val="0"/>
      <w:sz w:val="18"/>
      <w:szCs w:val="18"/>
      <w:lang w:eastAsia="en-US" w:bidi="en-US"/>
    </w:rPr>
  </w:style>
  <w:style w:type="paragraph" w:styleId="24">
    <w:name w:val="annotation text"/>
    <w:basedOn w:val="1"/>
    <w:link w:val="96"/>
    <w:unhideWhenUsed/>
    <w:qFormat/>
    <w:uiPriority w:val="0"/>
    <w:pPr>
      <w:widowControl/>
      <w:jc w:val="left"/>
    </w:pPr>
    <w:rPr>
      <w:rFonts w:cs="Times New Roman"/>
      <w:kern w:val="0"/>
      <w:sz w:val="24"/>
      <w:szCs w:val="24"/>
      <w:lang w:eastAsia="en-US" w:bidi="en-US"/>
    </w:rPr>
  </w:style>
  <w:style w:type="paragraph" w:styleId="25">
    <w:name w:val="Salutation"/>
    <w:basedOn w:val="1"/>
    <w:next w:val="1"/>
    <w:link w:val="157"/>
    <w:qFormat/>
    <w:uiPriority w:val="0"/>
    <w:rPr>
      <w:rFonts w:ascii="Times New Roman" w:hAnsi="Times New Roman" w:eastAsia="宋体" w:cs="Times New Roman"/>
      <w:szCs w:val="24"/>
    </w:rPr>
  </w:style>
  <w:style w:type="paragraph" w:styleId="26">
    <w:name w:val="Body Text 3"/>
    <w:basedOn w:val="1"/>
    <w:link w:val="158"/>
    <w:qFormat/>
    <w:uiPriority w:val="0"/>
    <w:pPr>
      <w:spacing w:after="120"/>
    </w:pPr>
    <w:rPr>
      <w:rFonts w:ascii="Times New Roman" w:hAnsi="Times New Roman" w:eastAsia="宋体" w:cs="Times New Roman"/>
      <w:sz w:val="16"/>
      <w:szCs w:val="16"/>
    </w:rPr>
  </w:style>
  <w:style w:type="paragraph" w:styleId="27">
    <w:name w:val="Closing"/>
    <w:basedOn w:val="1"/>
    <w:link w:val="159"/>
    <w:qFormat/>
    <w:uiPriority w:val="0"/>
    <w:pPr>
      <w:ind w:left="100" w:leftChars="2100"/>
    </w:pPr>
    <w:rPr>
      <w:rFonts w:ascii="Times New Roman" w:hAnsi="Times New Roman" w:eastAsia="宋体" w:cs="Times New Roman"/>
      <w:szCs w:val="24"/>
    </w:rPr>
  </w:style>
  <w:style w:type="paragraph" w:styleId="28">
    <w:name w:val="List Bullet 3"/>
    <w:basedOn w:val="1"/>
    <w:qFormat/>
    <w:uiPriority w:val="0"/>
    <w:pPr>
      <w:tabs>
        <w:tab w:val="left" w:pos="659"/>
        <w:tab w:val="left" w:pos="1200"/>
      </w:tabs>
      <w:ind w:left="659" w:hanging="375"/>
    </w:pPr>
    <w:rPr>
      <w:rFonts w:ascii="Times New Roman" w:hAnsi="Times New Roman" w:eastAsia="宋体" w:cs="Times New Roman"/>
      <w:szCs w:val="24"/>
    </w:rPr>
  </w:style>
  <w:style w:type="paragraph" w:styleId="29">
    <w:name w:val="Body Text"/>
    <w:basedOn w:val="1"/>
    <w:next w:val="1"/>
    <w:link w:val="97"/>
    <w:qFormat/>
    <w:uiPriority w:val="0"/>
    <w:pPr>
      <w:widowControl/>
      <w:spacing w:after="120"/>
      <w:jc w:val="left"/>
    </w:pPr>
    <w:rPr>
      <w:rFonts w:ascii="Times New Roman" w:hAnsi="Times New Roman" w:cs="Times New Roman"/>
      <w:kern w:val="0"/>
      <w:sz w:val="24"/>
      <w:szCs w:val="20"/>
      <w:lang w:eastAsia="en-US" w:bidi="en-US"/>
    </w:rPr>
  </w:style>
  <w:style w:type="paragraph" w:styleId="30">
    <w:name w:val="Body Text Indent"/>
    <w:basedOn w:val="1"/>
    <w:link w:val="98"/>
    <w:qFormat/>
    <w:uiPriority w:val="0"/>
    <w:pPr>
      <w:widowControl/>
      <w:spacing w:line="288" w:lineRule="auto"/>
      <w:jc w:val="left"/>
    </w:pPr>
    <w:rPr>
      <w:rFonts w:ascii="Times New Roman" w:hAnsi="Times New Roman" w:cs="Times New Roman"/>
      <w:kern w:val="0"/>
      <w:sz w:val="24"/>
      <w:szCs w:val="20"/>
      <w:lang w:eastAsia="en-US" w:bidi="en-US"/>
    </w:rPr>
  </w:style>
  <w:style w:type="paragraph" w:styleId="31">
    <w:name w:val="List Number 3"/>
    <w:basedOn w:val="1"/>
    <w:qFormat/>
    <w:uiPriority w:val="0"/>
    <w:pPr>
      <w:tabs>
        <w:tab w:val="left" w:pos="659"/>
        <w:tab w:val="left" w:pos="1200"/>
      </w:tabs>
      <w:ind w:left="659" w:hanging="375"/>
    </w:pPr>
    <w:rPr>
      <w:rFonts w:ascii="Times New Roman" w:hAnsi="Times New Roman" w:eastAsia="宋体" w:cs="Times New Roman"/>
      <w:szCs w:val="24"/>
    </w:rPr>
  </w:style>
  <w:style w:type="paragraph" w:styleId="32">
    <w:name w:val="List 2"/>
    <w:basedOn w:val="1"/>
    <w:qFormat/>
    <w:uiPriority w:val="0"/>
    <w:pPr>
      <w:ind w:left="100" w:leftChars="200" w:hanging="200" w:hangingChars="200"/>
    </w:pPr>
    <w:rPr>
      <w:rFonts w:ascii="Times New Roman" w:hAnsi="Times New Roman" w:eastAsia="宋体" w:cs="Times New Roman"/>
      <w:szCs w:val="24"/>
    </w:rPr>
  </w:style>
  <w:style w:type="paragraph" w:styleId="33">
    <w:name w:val="List Continue"/>
    <w:basedOn w:val="1"/>
    <w:qFormat/>
    <w:uiPriority w:val="0"/>
    <w:pPr>
      <w:spacing w:after="120"/>
      <w:ind w:left="420" w:leftChars="200"/>
    </w:pPr>
    <w:rPr>
      <w:rFonts w:ascii="Times New Roman" w:hAnsi="Times New Roman" w:eastAsia="宋体" w:cs="Times New Roman"/>
      <w:szCs w:val="24"/>
    </w:rPr>
  </w:style>
  <w:style w:type="paragraph" w:styleId="34">
    <w:name w:val="Block Text"/>
    <w:basedOn w:val="1"/>
    <w:qFormat/>
    <w:uiPriority w:val="0"/>
    <w:pPr>
      <w:spacing w:after="120"/>
      <w:ind w:left="1440" w:leftChars="700" w:right="1440" w:rightChars="700"/>
    </w:pPr>
    <w:rPr>
      <w:rFonts w:ascii="Times New Roman" w:hAnsi="Times New Roman" w:eastAsia="宋体" w:cs="Times New Roman"/>
      <w:szCs w:val="24"/>
    </w:rPr>
  </w:style>
  <w:style w:type="paragraph" w:styleId="35">
    <w:name w:val="List Bullet 2"/>
    <w:basedOn w:val="1"/>
    <w:qFormat/>
    <w:uiPriority w:val="0"/>
    <w:pPr>
      <w:tabs>
        <w:tab w:val="left" w:pos="659"/>
        <w:tab w:val="left" w:pos="780"/>
      </w:tabs>
      <w:ind w:left="659" w:hanging="375"/>
    </w:pPr>
    <w:rPr>
      <w:rFonts w:ascii="Times New Roman" w:hAnsi="Times New Roman" w:eastAsia="宋体" w:cs="Times New Roman"/>
      <w:szCs w:val="24"/>
    </w:rPr>
  </w:style>
  <w:style w:type="paragraph" w:styleId="36">
    <w:name w:val="HTML Address"/>
    <w:basedOn w:val="1"/>
    <w:link w:val="160"/>
    <w:qFormat/>
    <w:uiPriority w:val="0"/>
    <w:rPr>
      <w:rFonts w:ascii="Times New Roman" w:hAnsi="Times New Roman" w:eastAsia="宋体" w:cs="Times New Roman"/>
      <w:i/>
      <w:iCs/>
      <w:szCs w:val="24"/>
    </w:rPr>
  </w:style>
  <w:style w:type="paragraph" w:styleId="37">
    <w:name w:val="toc 5"/>
    <w:basedOn w:val="1"/>
    <w:next w:val="1"/>
    <w:unhideWhenUsed/>
    <w:qFormat/>
    <w:uiPriority w:val="0"/>
    <w:pPr>
      <w:ind w:left="840"/>
      <w:jc w:val="left"/>
    </w:pPr>
    <w:rPr>
      <w:rFonts w:cstheme="minorHAnsi"/>
      <w:sz w:val="18"/>
      <w:szCs w:val="18"/>
    </w:rPr>
  </w:style>
  <w:style w:type="paragraph" w:styleId="38">
    <w:name w:val="toc 3"/>
    <w:basedOn w:val="1"/>
    <w:next w:val="1"/>
    <w:qFormat/>
    <w:uiPriority w:val="0"/>
    <w:pPr>
      <w:ind w:left="420"/>
      <w:jc w:val="left"/>
    </w:pPr>
    <w:rPr>
      <w:rFonts w:cstheme="minorHAnsi"/>
      <w:i/>
      <w:iCs/>
      <w:sz w:val="20"/>
      <w:szCs w:val="20"/>
    </w:rPr>
  </w:style>
  <w:style w:type="paragraph" w:styleId="39">
    <w:name w:val="Plain Text"/>
    <w:basedOn w:val="1"/>
    <w:link w:val="99"/>
    <w:qFormat/>
    <w:uiPriority w:val="0"/>
    <w:pPr>
      <w:widowControl/>
      <w:spacing w:line="360" w:lineRule="auto"/>
      <w:jc w:val="left"/>
    </w:pPr>
    <w:rPr>
      <w:rFonts w:ascii="宋体" w:hAnsi="Courier New" w:cs="Times New Roman"/>
      <w:kern w:val="0"/>
      <w:sz w:val="24"/>
      <w:szCs w:val="21"/>
      <w:lang w:bidi="en-US"/>
    </w:rPr>
  </w:style>
  <w:style w:type="paragraph" w:styleId="40">
    <w:name w:val="List Bullet 5"/>
    <w:basedOn w:val="1"/>
    <w:qFormat/>
    <w:uiPriority w:val="0"/>
    <w:pPr>
      <w:tabs>
        <w:tab w:val="left" w:pos="659"/>
        <w:tab w:val="left" w:pos="2040"/>
      </w:tabs>
      <w:ind w:left="659" w:hanging="375"/>
    </w:pPr>
    <w:rPr>
      <w:rFonts w:ascii="Times New Roman" w:hAnsi="Times New Roman" w:eastAsia="宋体" w:cs="Times New Roman"/>
      <w:szCs w:val="24"/>
    </w:rPr>
  </w:style>
  <w:style w:type="paragraph" w:styleId="41">
    <w:name w:val="List Number 4"/>
    <w:basedOn w:val="1"/>
    <w:qFormat/>
    <w:uiPriority w:val="0"/>
    <w:pPr>
      <w:tabs>
        <w:tab w:val="left" w:pos="659"/>
        <w:tab w:val="left" w:pos="1620"/>
      </w:tabs>
      <w:ind w:left="659" w:hanging="375"/>
    </w:pPr>
    <w:rPr>
      <w:rFonts w:ascii="Times New Roman" w:hAnsi="Times New Roman" w:eastAsia="宋体" w:cs="Times New Roman"/>
      <w:szCs w:val="24"/>
    </w:rPr>
  </w:style>
  <w:style w:type="paragraph" w:styleId="42">
    <w:name w:val="toc 8"/>
    <w:basedOn w:val="1"/>
    <w:next w:val="1"/>
    <w:unhideWhenUsed/>
    <w:qFormat/>
    <w:uiPriority w:val="0"/>
    <w:pPr>
      <w:ind w:left="1470"/>
      <w:jc w:val="left"/>
    </w:pPr>
    <w:rPr>
      <w:rFonts w:cstheme="minorHAnsi"/>
      <w:sz w:val="18"/>
      <w:szCs w:val="18"/>
    </w:rPr>
  </w:style>
  <w:style w:type="paragraph" w:styleId="43">
    <w:name w:val="Date"/>
    <w:basedOn w:val="1"/>
    <w:next w:val="1"/>
    <w:link w:val="100"/>
    <w:qFormat/>
    <w:uiPriority w:val="0"/>
    <w:pPr>
      <w:widowControl/>
      <w:jc w:val="left"/>
    </w:pPr>
    <w:rPr>
      <w:rFonts w:ascii="Times New Roman" w:hAnsi="Times New Roman" w:cs="Times New Roman"/>
      <w:kern w:val="0"/>
      <w:sz w:val="24"/>
      <w:szCs w:val="20"/>
      <w:lang w:eastAsia="en-US" w:bidi="en-US"/>
    </w:rPr>
  </w:style>
  <w:style w:type="paragraph" w:styleId="44">
    <w:name w:val="Body Text Indent 2"/>
    <w:basedOn w:val="1"/>
    <w:link w:val="161"/>
    <w:qFormat/>
    <w:uiPriority w:val="0"/>
    <w:pPr>
      <w:ind w:left="1041" w:hanging="1041" w:hangingChars="494"/>
    </w:pPr>
    <w:rPr>
      <w:rFonts w:ascii="宋体" w:hAnsi="宋体" w:eastAsia="宋体" w:cs="Times New Roman"/>
      <w:b/>
      <w:bCs/>
      <w:color w:val="000000"/>
      <w:szCs w:val="24"/>
    </w:rPr>
  </w:style>
  <w:style w:type="paragraph" w:styleId="45">
    <w:name w:val="endnote text"/>
    <w:basedOn w:val="1"/>
    <w:link w:val="162"/>
    <w:semiHidden/>
    <w:qFormat/>
    <w:uiPriority w:val="0"/>
    <w:pPr>
      <w:snapToGrid w:val="0"/>
      <w:jc w:val="left"/>
    </w:pPr>
    <w:rPr>
      <w:rFonts w:ascii="Times New Roman" w:hAnsi="Times New Roman" w:eastAsia="宋体" w:cs="Times New Roman"/>
      <w:szCs w:val="24"/>
    </w:rPr>
  </w:style>
  <w:style w:type="paragraph" w:styleId="46">
    <w:name w:val="List Continue 5"/>
    <w:basedOn w:val="1"/>
    <w:qFormat/>
    <w:uiPriority w:val="0"/>
    <w:pPr>
      <w:spacing w:after="120"/>
      <w:ind w:left="2100" w:leftChars="1000"/>
    </w:pPr>
    <w:rPr>
      <w:rFonts w:ascii="Times New Roman" w:hAnsi="Times New Roman" w:eastAsia="宋体" w:cs="Times New Roman"/>
      <w:szCs w:val="24"/>
    </w:rPr>
  </w:style>
  <w:style w:type="paragraph" w:styleId="47">
    <w:name w:val="Balloon Text"/>
    <w:basedOn w:val="1"/>
    <w:link w:val="101"/>
    <w:unhideWhenUsed/>
    <w:qFormat/>
    <w:uiPriority w:val="0"/>
    <w:pPr>
      <w:widowControl/>
      <w:jc w:val="left"/>
    </w:pPr>
    <w:rPr>
      <w:rFonts w:cs="Times New Roman"/>
      <w:kern w:val="0"/>
      <w:sz w:val="18"/>
      <w:szCs w:val="18"/>
      <w:lang w:eastAsia="en-US" w:bidi="en-US"/>
    </w:rPr>
  </w:style>
  <w:style w:type="paragraph" w:styleId="48">
    <w:name w:val="footer"/>
    <w:basedOn w:val="1"/>
    <w:link w:val="102"/>
    <w:unhideWhenUsed/>
    <w:qFormat/>
    <w:uiPriority w:val="99"/>
    <w:pPr>
      <w:tabs>
        <w:tab w:val="center" w:pos="4153"/>
        <w:tab w:val="right" w:pos="8306"/>
      </w:tabs>
      <w:snapToGrid w:val="0"/>
      <w:jc w:val="left"/>
    </w:pPr>
    <w:rPr>
      <w:sz w:val="18"/>
      <w:szCs w:val="18"/>
    </w:rPr>
  </w:style>
  <w:style w:type="paragraph" w:styleId="49">
    <w:name w:val="envelope return"/>
    <w:basedOn w:val="1"/>
    <w:qFormat/>
    <w:uiPriority w:val="0"/>
    <w:pPr>
      <w:snapToGrid w:val="0"/>
    </w:pPr>
    <w:rPr>
      <w:rFonts w:ascii="Arial" w:hAnsi="Arial" w:eastAsia="宋体" w:cs="Arial"/>
      <w:szCs w:val="24"/>
    </w:rPr>
  </w:style>
  <w:style w:type="paragraph" w:styleId="50">
    <w:name w:val="header"/>
    <w:basedOn w:val="1"/>
    <w:link w:val="103"/>
    <w:unhideWhenUsed/>
    <w:qFormat/>
    <w:uiPriority w:val="99"/>
    <w:pPr>
      <w:pBdr>
        <w:bottom w:val="single" w:color="auto" w:sz="6" w:space="1"/>
      </w:pBdr>
      <w:tabs>
        <w:tab w:val="center" w:pos="4153"/>
        <w:tab w:val="right" w:pos="8306"/>
      </w:tabs>
      <w:snapToGrid w:val="0"/>
      <w:jc w:val="center"/>
    </w:pPr>
    <w:rPr>
      <w:sz w:val="18"/>
      <w:szCs w:val="18"/>
    </w:rPr>
  </w:style>
  <w:style w:type="paragraph" w:styleId="51">
    <w:name w:val="Signature"/>
    <w:basedOn w:val="1"/>
    <w:link w:val="164"/>
    <w:qFormat/>
    <w:uiPriority w:val="0"/>
    <w:pPr>
      <w:ind w:left="100" w:leftChars="2100"/>
    </w:pPr>
    <w:rPr>
      <w:rFonts w:ascii="Times New Roman" w:hAnsi="Times New Roman" w:eastAsia="宋体" w:cs="Times New Roman"/>
      <w:szCs w:val="24"/>
    </w:rPr>
  </w:style>
  <w:style w:type="paragraph" w:styleId="52">
    <w:name w:val="toc 1"/>
    <w:basedOn w:val="1"/>
    <w:next w:val="1"/>
    <w:qFormat/>
    <w:uiPriority w:val="0"/>
    <w:pPr>
      <w:spacing w:before="120" w:after="120"/>
      <w:jc w:val="left"/>
    </w:pPr>
    <w:rPr>
      <w:rFonts w:cstheme="minorHAnsi"/>
      <w:b/>
      <w:bCs/>
      <w:caps/>
      <w:sz w:val="20"/>
      <w:szCs w:val="20"/>
    </w:rPr>
  </w:style>
  <w:style w:type="paragraph" w:styleId="53">
    <w:name w:val="List Continue 4"/>
    <w:basedOn w:val="1"/>
    <w:qFormat/>
    <w:uiPriority w:val="0"/>
    <w:pPr>
      <w:spacing w:after="120"/>
      <w:ind w:left="1680" w:leftChars="800"/>
    </w:pPr>
    <w:rPr>
      <w:rFonts w:ascii="Times New Roman" w:hAnsi="Times New Roman" w:eastAsia="宋体" w:cs="Times New Roman"/>
      <w:szCs w:val="24"/>
    </w:rPr>
  </w:style>
  <w:style w:type="paragraph" w:styleId="54">
    <w:name w:val="toc 4"/>
    <w:basedOn w:val="1"/>
    <w:next w:val="1"/>
    <w:unhideWhenUsed/>
    <w:qFormat/>
    <w:uiPriority w:val="0"/>
    <w:pPr>
      <w:ind w:left="630"/>
      <w:jc w:val="left"/>
    </w:pPr>
    <w:rPr>
      <w:rFonts w:cstheme="minorHAnsi"/>
      <w:sz w:val="18"/>
      <w:szCs w:val="18"/>
    </w:rPr>
  </w:style>
  <w:style w:type="paragraph" w:styleId="55">
    <w:name w:val="Subtitle"/>
    <w:basedOn w:val="1"/>
    <w:next w:val="1"/>
    <w:link w:val="104"/>
    <w:qFormat/>
    <w:uiPriority w:val="0"/>
    <w:pPr>
      <w:widowControl/>
      <w:spacing w:after="60"/>
      <w:jc w:val="center"/>
      <w:outlineLvl w:val="1"/>
    </w:pPr>
    <w:rPr>
      <w:rFonts w:cs="Times New Roman" w:asciiTheme="majorHAnsi" w:hAnsiTheme="majorHAnsi" w:eastAsiaTheme="majorEastAsia"/>
      <w:kern w:val="0"/>
      <w:sz w:val="24"/>
      <w:szCs w:val="24"/>
      <w:lang w:eastAsia="en-US" w:bidi="en-US"/>
    </w:rPr>
  </w:style>
  <w:style w:type="paragraph" w:styleId="56">
    <w:name w:val="List Number 5"/>
    <w:basedOn w:val="1"/>
    <w:qFormat/>
    <w:uiPriority w:val="0"/>
    <w:pPr>
      <w:tabs>
        <w:tab w:val="left" w:pos="659"/>
        <w:tab w:val="left" w:pos="2040"/>
      </w:tabs>
      <w:ind w:left="659" w:hanging="375"/>
    </w:pPr>
    <w:rPr>
      <w:rFonts w:ascii="Times New Roman" w:hAnsi="Times New Roman" w:eastAsia="宋体" w:cs="Times New Roman"/>
      <w:szCs w:val="24"/>
    </w:rPr>
  </w:style>
  <w:style w:type="paragraph" w:styleId="57">
    <w:name w:val="List"/>
    <w:basedOn w:val="1"/>
    <w:qFormat/>
    <w:uiPriority w:val="0"/>
    <w:pPr>
      <w:ind w:left="420" w:hanging="420" w:hangingChars="200"/>
    </w:pPr>
    <w:rPr>
      <w:rFonts w:ascii="Times New Roman" w:hAnsi="Times New Roman" w:eastAsia="宋体" w:cs="Times New Roman"/>
      <w:szCs w:val="24"/>
    </w:rPr>
  </w:style>
  <w:style w:type="paragraph" w:styleId="58">
    <w:name w:val="footnote text"/>
    <w:basedOn w:val="1"/>
    <w:link w:val="105"/>
    <w:semiHidden/>
    <w:unhideWhenUsed/>
    <w:qFormat/>
    <w:uiPriority w:val="0"/>
    <w:pPr>
      <w:snapToGrid w:val="0"/>
      <w:jc w:val="left"/>
    </w:pPr>
    <w:rPr>
      <w:sz w:val="18"/>
      <w:szCs w:val="18"/>
    </w:rPr>
  </w:style>
  <w:style w:type="paragraph" w:styleId="59">
    <w:name w:val="toc 6"/>
    <w:basedOn w:val="1"/>
    <w:next w:val="1"/>
    <w:unhideWhenUsed/>
    <w:qFormat/>
    <w:uiPriority w:val="0"/>
    <w:pPr>
      <w:ind w:left="1050"/>
      <w:jc w:val="left"/>
    </w:pPr>
    <w:rPr>
      <w:rFonts w:cstheme="minorHAnsi"/>
      <w:sz w:val="18"/>
      <w:szCs w:val="18"/>
    </w:rPr>
  </w:style>
  <w:style w:type="paragraph" w:styleId="60">
    <w:name w:val="List 5"/>
    <w:basedOn w:val="1"/>
    <w:qFormat/>
    <w:uiPriority w:val="0"/>
    <w:pPr>
      <w:ind w:left="100" w:leftChars="800" w:hanging="200" w:hangingChars="200"/>
    </w:pPr>
    <w:rPr>
      <w:rFonts w:ascii="Times New Roman" w:hAnsi="Times New Roman" w:eastAsia="宋体" w:cs="Times New Roman"/>
      <w:szCs w:val="24"/>
    </w:rPr>
  </w:style>
  <w:style w:type="paragraph" w:styleId="61">
    <w:name w:val="Body Text Indent 3"/>
    <w:basedOn w:val="1"/>
    <w:link w:val="106"/>
    <w:qFormat/>
    <w:uiPriority w:val="0"/>
    <w:pPr>
      <w:spacing w:after="120"/>
      <w:ind w:left="420" w:leftChars="200"/>
    </w:pPr>
    <w:rPr>
      <w:rFonts w:ascii="Times New Roman" w:hAnsi="Times New Roman" w:eastAsia="宋体" w:cs="Times New Roman"/>
      <w:sz w:val="16"/>
      <w:szCs w:val="16"/>
    </w:rPr>
  </w:style>
  <w:style w:type="paragraph" w:styleId="62">
    <w:name w:val="toc 2"/>
    <w:basedOn w:val="1"/>
    <w:next w:val="1"/>
    <w:qFormat/>
    <w:uiPriority w:val="0"/>
    <w:pPr>
      <w:ind w:left="210"/>
      <w:jc w:val="left"/>
    </w:pPr>
    <w:rPr>
      <w:rFonts w:cstheme="minorHAnsi"/>
      <w:smallCaps/>
      <w:sz w:val="20"/>
      <w:szCs w:val="20"/>
    </w:rPr>
  </w:style>
  <w:style w:type="paragraph" w:styleId="63">
    <w:name w:val="toc 9"/>
    <w:basedOn w:val="1"/>
    <w:next w:val="1"/>
    <w:unhideWhenUsed/>
    <w:qFormat/>
    <w:uiPriority w:val="0"/>
    <w:pPr>
      <w:ind w:left="1680"/>
      <w:jc w:val="left"/>
    </w:pPr>
    <w:rPr>
      <w:rFonts w:cstheme="minorHAnsi"/>
      <w:sz w:val="18"/>
      <w:szCs w:val="18"/>
    </w:rPr>
  </w:style>
  <w:style w:type="paragraph" w:styleId="64">
    <w:name w:val="Body Text 2"/>
    <w:basedOn w:val="1"/>
    <w:link w:val="107"/>
    <w:unhideWhenUsed/>
    <w:qFormat/>
    <w:uiPriority w:val="0"/>
    <w:pPr>
      <w:spacing w:after="120" w:line="480" w:lineRule="auto"/>
    </w:pPr>
  </w:style>
  <w:style w:type="paragraph" w:styleId="65">
    <w:name w:val="List 4"/>
    <w:basedOn w:val="1"/>
    <w:qFormat/>
    <w:uiPriority w:val="0"/>
    <w:pPr>
      <w:ind w:left="100" w:leftChars="600" w:hanging="200" w:hangingChars="200"/>
    </w:pPr>
    <w:rPr>
      <w:rFonts w:ascii="Times New Roman" w:hAnsi="Times New Roman" w:eastAsia="宋体" w:cs="Times New Roman"/>
      <w:szCs w:val="24"/>
    </w:rPr>
  </w:style>
  <w:style w:type="paragraph" w:styleId="66">
    <w:name w:val="List Continue 2"/>
    <w:basedOn w:val="1"/>
    <w:qFormat/>
    <w:uiPriority w:val="0"/>
    <w:pPr>
      <w:spacing w:after="120"/>
      <w:ind w:left="840" w:leftChars="400"/>
    </w:pPr>
    <w:rPr>
      <w:rFonts w:ascii="Times New Roman" w:hAnsi="Times New Roman" w:eastAsia="宋体" w:cs="Times New Roman"/>
      <w:szCs w:val="24"/>
    </w:rPr>
  </w:style>
  <w:style w:type="paragraph" w:styleId="67">
    <w:name w:val="Message Header"/>
    <w:basedOn w:val="1"/>
    <w:link w:val="16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Arial"/>
      <w:sz w:val="24"/>
      <w:szCs w:val="24"/>
    </w:rPr>
  </w:style>
  <w:style w:type="paragraph" w:styleId="68">
    <w:name w:val="HTML Preformatted"/>
    <w:basedOn w:val="1"/>
    <w:link w:val="166"/>
    <w:qFormat/>
    <w:uiPriority w:val="0"/>
    <w:rPr>
      <w:rFonts w:ascii="Courier New" w:hAnsi="Courier New" w:eastAsia="宋体" w:cs="Courier New"/>
      <w:sz w:val="20"/>
      <w:szCs w:val="20"/>
    </w:rPr>
  </w:style>
  <w:style w:type="paragraph" w:styleId="69">
    <w:name w:val="Normal (Web)"/>
    <w:basedOn w:val="1"/>
    <w:qFormat/>
    <w:uiPriority w:val="99"/>
    <w:pPr>
      <w:widowControl/>
      <w:spacing w:before="100" w:beforeAutospacing="1" w:after="100" w:afterAutospacing="1"/>
      <w:jc w:val="left"/>
    </w:pPr>
    <w:rPr>
      <w:rFonts w:ascii="宋体" w:hAnsi="宋体" w:cs="宋体"/>
      <w:kern w:val="0"/>
      <w:sz w:val="24"/>
      <w:szCs w:val="24"/>
      <w:lang w:eastAsia="en-US" w:bidi="en-US"/>
    </w:rPr>
  </w:style>
  <w:style w:type="paragraph" w:styleId="70">
    <w:name w:val="List Continue 3"/>
    <w:basedOn w:val="1"/>
    <w:qFormat/>
    <w:uiPriority w:val="0"/>
    <w:pPr>
      <w:spacing w:after="120"/>
      <w:ind w:left="1260" w:leftChars="600"/>
    </w:pPr>
    <w:rPr>
      <w:rFonts w:ascii="Times New Roman" w:hAnsi="Times New Roman" w:eastAsia="宋体" w:cs="Times New Roman"/>
      <w:szCs w:val="24"/>
    </w:rPr>
  </w:style>
  <w:style w:type="paragraph" w:styleId="71">
    <w:name w:val="index 1"/>
    <w:basedOn w:val="1"/>
    <w:next w:val="1"/>
    <w:autoRedefine/>
    <w:semiHidden/>
    <w:unhideWhenUsed/>
    <w:qFormat/>
    <w:uiPriority w:val="0"/>
  </w:style>
  <w:style w:type="paragraph" w:styleId="72">
    <w:name w:val="index 2"/>
    <w:basedOn w:val="1"/>
    <w:next w:val="1"/>
    <w:semiHidden/>
    <w:qFormat/>
    <w:uiPriority w:val="0"/>
    <w:pPr>
      <w:ind w:left="200" w:leftChars="200"/>
    </w:pPr>
    <w:rPr>
      <w:rFonts w:ascii="Times New Roman" w:hAnsi="Times New Roman" w:eastAsia="宋体" w:cs="Times New Roman"/>
      <w:szCs w:val="24"/>
    </w:rPr>
  </w:style>
  <w:style w:type="paragraph" w:styleId="73">
    <w:name w:val="Title"/>
    <w:basedOn w:val="1"/>
    <w:next w:val="1"/>
    <w:link w:val="108"/>
    <w:qFormat/>
    <w:uiPriority w:val="0"/>
    <w:pPr>
      <w:widowControl/>
      <w:spacing w:before="240" w:after="60"/>
      <w:jc w:val="center"/>
      <w:outlineLvl w:val="0"/>
    </w:pPr>
    <w:rPr>
      <w:rFonts w:cs="Times New Roman" w:asciiTheme="majorHAnsi" w:hAnsiTheme="majorHAnsi" w:eastAsiaTheme="majorEastAsia"/>
      <w:b/>
      <w:bCs/>
      <w:kern w:val="28"/>
      <w:sz w:val="32"/>
      <w:szCs w:val="32"/>
      <w:lang w:eastAsia="en-US" w:bidi="en-US"/>
    </w:rPr>
  </w:style>
  <w:style w:type="paragraph" w:styleId="74">
    <w:name w:val="annotation subject"/>
    <w:basedOn w:val="24"/>
    <w:next w:val="24"/>
    <w:link w:val="109"/>
    <w:semiHidden/>
    <w:unhideWhenUsed/>
    <w:qFormat/>
    <w:uiPriority w:val="0"/>
    <w:rPr>
      <w:b/>
      <w:bCs/>
    </w:rPr>
  </w:style>
  <w:style w:type="paragraph" w:styleId="75">
    <w:name w:val="Body Text First Indent"/>
    <w:basedOn w:val="29"/>
    <w:link w:val="153"/>
    <w:qFormat/>
    <w:uiPriority w:val="0"/>
    <w:pPr>
      <w:widowControl w:val="0"/>
      <w:ind w:firstLine="420" w:firstLineChars="100"/>
      <w:jc w:val="both"/>
    </w:pPr>
    <w:rPr>
      <w:rFonts w:eastAsia="宋体"/>
      <w:kern w:val="2"/>
      <w:sz w:val="21"/>
      <w:szCs w:val="24"/>
      <w:lang w:eastAsia="zh-CN" w:bidi="ar-SA"/>
    </w:rPr>
  </w:style>
  <w:style w:type="paragraph" w:styleId="76">
    <w:name w:val="Body Text First Indent 2"/>
    <w:basedOn w:val="30"/>
    <w:link w:val="163"/>
    <w:qFormat/>
    <w:uiPriority w:val="0"/>
    <w:pPr>
      <w:widowControl w:val="0"/>
      <w:spacing w:after="120" w:line="240" w:lineRule="auto"/>
      <w:ind w:left="420" w:leftChars="200" w:firstLine="420" w:firstLineChars="200"/>
      <w:jc w:val="both"/>
    </w:pPr>
    <w:rPr>
      <w:rFonts w:eastAsia="宋体"/>
      <w:kern w:val="2"/>
      <w:sz w:val="21"/>
      <w:szCs w:val="24"/>
      <w:lang w:eastAsia="zh-CN" w:bidi="ar-SA"/>
    </w:rPr>
  </w:style>
  <w:style w:type="table" w:styleId="78">
    <w:name w:val="Table Grid"/>
    <w:basedOn w:val="77"/>
    <w:qFormat/>
    <w:uiPriority w:val="0"/>
    <w:pPr>
      <w:spacing w:after="200"/>
    </w:pPr>
    <w:rPr>
      <w:rFonts w:ascii="Calibri" w:hAnsi="Calibri"/>
      <w:lang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basedOn w:val="79"/>
    <w:qFormat/>
    <w:uiPriority w:val="22"/>
    <w:rPr>
      <w:b/>
      <w:bCs/>
    </w:rPr>
  </w:style>
  <w:style w:type="character" w:styleId="81">
    <w:name w:val="page number"/>
    <w:qFormat/>
    <w:uiPriority w:val="0"/>
    <w:rPr>
      <w:rFonts w:cs="Times New Roman"/>
    </w:rPr>
  </w:style>
  <w:style w:type="character" w:styleId="82">
    <w:name w:val="Emphasis"/>
    <w:basedOn w:val="79"/>
    <w:qFormat/>
    <w:uiPriority w:val="20"/>
    <w:rPr>
      <w:rFonts w:asciiTheme="minorHAnsi" w:hAnsiTheme="minorHAnsi"/>
      <w:b/>
      <w:i/>
      <w:iCs/>
    </w:rPr>
  </w:style>
  <w:style w:type="character" w:styleId="83">
    <w:name w:val="Hyperlink"/>
    <w:basedOn w:val="79"/>
    <w:qFormat/>
    <w:uiPriority w:val="0"/>
    <w:rPr>
      <w:rFonts w:cs="Times New Roman"/>
      <w:color w:val="0000FF"/>
      <w:u w:val="single"/>
    </w:rPr>
  </w:style>
  <w:style w:type="character" w:styleId="84">
    <w:name w:val="annotation reference"/>
    <w:basedOn w:val="79"/>
    <w:unhideWhenUsed/>
    <w:qFormat/>
    <w:uiPriority w:val="0"/>
    <w:rPr>
      <w:sz w:val="21"/>
      <w:szCs w:val="21"/>
    </w:rPr>
  </w:style>
  <w:style w:type="character" w:styleId="85">
    <w:name w:val="footnote reference"/>
    <w:basedOn w:val="79"/>
    <w:semiHidden/>
    <w:unhideWhenUsed/>
    <w:qFormat/>
    <w:uiPriority w:val="99"/>
    <w:rPr>
      <w:vertAlign w:val="superscript"/>
    </w:rPr>
  </w:style>
  <w:style w:type="character" w:customStyle="1" w:styleId="86">
    <w:name w:val="标题 1 字符"/>
    <w:basedOn w:val="79"/>
    <w:link w:val="3"/>
    <w:qFormat/>
    <w:uiPriority w:val="9"/>
    <w:rPr>
      <w:rFonts w:cs="宋体" w:asciiTheme="majorHAnsi" w:hAnsiTheme="majorHAnsi" w:eastAsiaTheme="majorEastAsia"/>
      <w:b/>
      <w:bCs/>
      <w:kern w:val="32"/>
      <w:sz w:val="32"/>
      <w:szCs w:val="32"/>
      <w:lang w:eastAsia="en-US" w:bidi="en-US"/>
    </w:rPr>
  </w:style>
  <w:style w:type="character" w:customStyle="1" w:styleId="87">
    <w:name w:val="标题 2 字符"/>
    <w:basedOn w:val="79"/>
    <w:link w:val="4"/>
    <w:qFormat/>
    <w:uiPriority w:val="0"/>
    <w:rPr>
      <w:rFonts w:cs="Times New Roman" w:asciiTheme="majorHAnsi" w:hAnsiTheme="majorHAnsi" w:eastAsiaTheme="majorEastAsia"/>
      <w:b/>
      <w:bCs/>
      <w:i/>
      <w:iCs/>
      <w:kern w:val="0"/>
      <w:sz w:val="28"/>
      <w:szCs w:val="28"/>
      <w:lang w:eastAsia="en-US" w:bidi="en-US"/>
    </w:rPr>
  </w:style>
  <w:style w:type="character" w:customStyle="1" w:styleId="88">
    <w:name w:val="标题 3 字符"/>
    <w:basedOn w:val="79"/>
    <w:link w:val="5"/>
    <w:qFormat/>
    <w:uiPriority w:val="0"/>
    <w:rPr>
      <w:rFonts w:cs="Times New Roman" w:asciiTheme="majorHAnsi" w:hAnsiTheme="majorHAnsi" w:eastAsiaTheme="majorEastAsia"/>
      <w:b/>
      <w:bCs/>
      <w:kern w:val="0"/>
      <w:sz w:val="26"/>
      <w:szCs w:val="26"/>
      <w:lang w:eastAsia="en-US" w:bidi="en-US"/>
    </w:rPr>
  </w:style>
  <w:style w:type="character" w:customStyle="1" w:styleId="89">
    <w:name w:val="标题 4 字符"/>
    <w:basedOn w:val="79"/>
    <w:link w:val="6"/>
    <w:qFormat/>
    <w:uiPriority w:val="0"/>
    <w:rPr>
      <w:rFonts w:cs="Times New Roman"/>
      <w:b/>
      <w:bCs/>
      <w:kern w:val="0"/>
      <w:sz w:val="28"/>
      <w:szCs w:val="28"/>
      <w:lang w:eastAsia="en-US" w:bidi="en-US"/>
    </w:rPr>
  </w:style>
  <w:style w:type="character" w:customStyle="1" w:styleId="90">
    <w:name w:val="标题 5 字符"/>
    <w:basedOn w:val="79"/>
    <w:link w:val="7"/>
    <w:qFormat/>
    <w:uiPriority w:val="0"/>
    <w:rPr>
      <w:rFonts w:cs="Times New Roman"/>
      <w:b/>
      <w:bCs/>
      <w:i/>
      <w:iCs/>
      <w:kern w:val="0"/>
      <w:sz w:val="26"/>
      <w:szCs w:val="26"/>
      <w:lang w:eastAsia="en-US" w:bidi="en-US"/>
    </w:rPr>
  </w:style>
  <w:style w:type="character" w:customStyle="1" w:styleId="91">
    <w:name w:val="标题 6 字符"/>
    <w:basedOn w:val="79"/>
    <w:link w:val="8"/>
    <w:qFormat/>
    <w:uiPriority w:val="0"/>
    <w:rPr>
      <w:rFonts w:cs="Times New Roman"/>
      <w:b/>
      <w:bCs/>
      <w:kern w:val="0"/>
      <w:sz w:val="22"/>
      <w:lang w:eastAsia="en-US" w:bidi="en-US"/>
    </w:rPr>
  </w:style>
  <w:style w:type="character" w:customStyle="1" w:styleId="92">
    <w:name w:val="标题 7 字符"/>
    <w:basedOn w:val="79"/>
    <w:link w:val="9"/>
    <w:qFormat/>
    <w:uiPriority w:val="0"/>
    <w:rPr>
      <w:rFonts w:cs="Times New Roman"/>
      <w:kern w:val="0"/>
      <w:sz w:val="24"/>
      <w:szCs w:val="24"/>
      <w:lang w:eastAsia="en-US" w:bidi="en-US"/>
    </w:rPr>
  </w:style>
  <w:style w:type="character" w:customStyle="1" w:styleId="93">
    <w:name w:val="标题 8 字符"/>
    <w:basedOn w:val="79"/>
    <w:link w:val="10"/>
    <w:qFormat/>
    <w:uiPriority w:val="0"/>
    <w:rPr>
      <w:rFonts w:cs="Times New Roman"/>
      <w:i/>
      <w:iCs/>
      <w:kern w:val="0"/>
      <w:sz w:val="24"/>
      <w:szCs w:val="24"/>
      <w:lang w:eastAsia="en-US" w:bidi="en-US"/>
    </w:rPr>
  </w:style>
  <w:style w:type="character" w:customStyle="1" w:styleId="94">
    <w:name w:val="标题 9 字符"/>
    <w:basedOn w:val="79"/>
    <w:link w:val="11"/>
    <w:qFormat/>
    <w:uiPriority w:val="0"/>
    <w:rPr>
      <w:rFonts w:cs="Times New Roman" w:asciiTheme="majorHAnsi" w:hAnsiTheme="majorHAnsi" w:eastAsiaTheme="majorEastAsia"/>
      <w:kern w:val="0"/>
      <w:sz w:val="22"/>
      <w:lang w:eastAsia="en-US" w:bidi="en-US"/>
    </w:rPr>
  </w:style>
  <w:style w:type="character" w:customStyle="1" w:styleId="95">
    <w:name w:val="文档结构图 字符"/>
    <w:basedOn w:val="79"/>
    <w:link w:val="23"/>
    <w:semiHidden/>
    <w:qFormat/>
    <w:uiPriority w:val="0"/>
    <w:rPr>
      <w:rFonts w:ascii="宋体" w:cs="Times New Roman"/>
      <w:kern w:val="0"/>
      <w:sz w:val="18"/>
      <w:szCs w:val="18"/>
      <w:lang w:eastAsia="en-US" w:bidi="en-US"/>
    </w:rPr>
  </w:style>
  <w:style w:type="character" w:customStyle="1" w:styleId="96">
    <w:name w:val="批注文字 字符"/>
    <w:basedOn w:val="79"/>
    <w:link w:val="24"/>
    <w:qFormat/>
    <w:uiPriority w:val="0"/>
    <w:rPr>
      <w:rFonts w:cs="Times New Roman"/>
      <w:kern w:val="0"/>
      <w:sz w:val="24"/>
      <w:szCs w:val="24"/>
      <w:lang w:eastAsia="en-US" w:bidi="en-US"/>
    </w:rPr>
  </w:style>
  <w:style w:type="character" w:customStyle="1" w:styleId="97">
    <w:name w:val="正文文本 字符"/>
    <w:basedOn w:val="79"/>
    <w:link w:val="29"/>
    <w:qFormat/>
    <w:uiPriority w:val="0"/>
    <w:rPr>
      <w:rFonts w:ascii="Times New Roman" w:hAnsi="Times New Roman" w:cs="Times New Roman"/>
      <w:kern w:val="0"/>
      <w:sz w:val="24"/>
      <w:szCs w:val="20"/>
      <w:lang w:eastAsia="en-US" w:bidi="en-US"/>
    </w:rPr>
  </w:style>
  <w:style w:type="character" w:customStyle="1" w:styleId="98">
    <w:name w:val="正文文本缩进 字符"/>
    <w:basedOn w:val="79"/>
    <w:link w:val="30"/>
    <w:qFormat/>
    <w:uiPriority w:val="0"/>
    <w:rPr>
      <w:rFonts w:ascii="Times New Roman" w:hAnsi="Times New Roman" w:cs="Times New Roman"/>
      <w:kern w:val="0"/>
      <w:sz w:val="24"/>
      <w:szCs w:val="20"/>
      <w:lang w:eastAsia="en-US" w:bidi="en-US"/>
    </w:rPr>
  </w:style>
  <w:style w:type="character" w:customStyle="1" w:styleId="99">
    <w:name w:val="纯文本 字符"/>
    <w:link w:val="39"/>
    <w:qFormat/>
    <w:uiPriority w:val="0"/>
    <w:rPr>
      <w:rFonts w:ascii="宋体" w:hAnsi="Courier New" w:cs="Times New Roman"/>
      <w:kern w:val="0"/>
      <w:sz w:val="24"/>
      <w:szCs w:val="21"/>
      <w:lang w:bidi="en-US"/>
    </w:rPr>
  </w:style>
  <w:style w:type="character" w:customStyle="1" w:styleId="100">
    <w:name w:val="日期 字符"/>
    <w:basedOn w:val="79"/>
    <w:link w:val="43"/>
    <w:qFormat/>
    <w:uiPriority w:val="0"/>
    <w:rPr>
      <w:rFonts w:ascii="Times New Roman" w:hAnsi="Times New Roman" w:cs="Times New Roman"/>
      <w:kern w:val="0"/>
      <w:sz w:val="24"/>
      <w:szCs w:val="20"/>
      <w:lang w:eastAsia="en-US" w:bidi="en-US"/>
    </w:rPr>
  </w:style>
  <w:style w:type="character" w:customStyle="1" w:styleId="101">
    <w:name w:val="批注框文本 字符"/>
    <w:basedOn w:val="79"/>
    <w:link w:val="47"/>
    <w:qFormat/>
    <w:uiPriority w:val="0"/>
    <w:rPr>
      <w:rFonts w:cs="Times New Roman"/>
      <w:kern w:val="0"/>
      <w:sz w:val="18"/>
      <w:szCs w:val="18"/>
      <w:lang w:eastAsia="en-US" w:bidi="en-US"/>
    </w:rPr>
  </w:style>
  <w:style w:type="character" w:customStyle="1" w:styleId="102">
    <w:name w:val="页脚 字符1"/>
    <w:basedOn w:val="79"/>
    <w:link w:val="48"/>
    <w:qFormat/>
    <w:uiPriority w:val="0"/>
    <w:rPr>
      <w:sz w:val="18"/>
      <w:szCs w:val="18"/>
    </w:rPr>
  </w:style>
  <w:style w:type="character" w:customStyle="1" w:styleId="103">
    <w:name w:val="页眉 字符1"/>
    <w:basedOn w:val="79"/>
    <w:link w:val="50"/>
    <w:qFormat/>
    <w:uiPriority w:val="0"/>
    <w:rPr>
      <w:sz w:val="18"/>
      <w:szCs w:val="18"/>
    </w:rPr>
  </w:style>
  <w:style w:type="character" w:customStyle="1" w:styleId="104">
    <w:name w:val="副标题 字符"/>
    <w:basedOn w:val="79"/>
    <w:link w:val="55"/>
    <w:qFormat/>
    <w:uiPriority w:val="0"/>
    <w:rPr>
      <w:rFonts w:cs="Times New Roman" w:asciiTheme="majorHAnsi" w:hAnsiTheme="majorHAnsi" w:eastAsiaTheme="majorEastAsia"/>
      <w:kern w:val="0"/>
      <w:sz w:val="24"/>
      <w:szCs w:val="24"/>
      <w:lang w:eastAsia="en-US" w:bidi="en-US"/>
    </w:rPr>
  </w:style>
  <w:style w:type="character" w:customStyle="1" w:styleId="105">
    <w:name w:val="脚注文本 字符"/>
    <w:basedOn w:val="79"/>
    <w:link w:val="58"/>
    <w:semiHidden/>
    <w:qFormat/>
    <w:uiPriority w:val="0"/>
    <w:rPr>
      <w:sz w:val="18"/>
      <w:szCs w:val="18"/>
    </w:rPr>
  </w:style>
  <w:style w:type="character" w:customStyle="1" w:styleId="106">
    <w:name w:val="正文文本缩进 3 字符"/>
    <w:basedOn w:val="79"/>
    <w:link w:val="61"/>
    <w:qFormat/>
    <w:uiPriority w:val="0"/>
    <w:rPr>
      <w:rFonts w:ascii="Times New Roman" w:hAnsi="Times New Roman" w:eastAsia="宋体" w:cs="Times New Roman"/>
      <w:sz w:val="16"/>
      <w:szCs w:val="16"/>
    </w:rPr>
  </w:style>
  <w:style w:type="character" w:customStyle="1" w:styleId="107">
    <w:name w:val="正文文本 2 字符"/>
    <w:basedOn w:val="79"/>
    <w:link w:val="64"/>
    <w:qFormat/>
    <w:uiPriority w:val="0"/>
  </w:style>
  <w:style w:type="character" w:customStyle="1" w:styleId="108">
    <w:name w:val="标题 字符"/>
    <w:basedOn w:val="79"/>
    <w:link w:val="73"/>
    <w:qFormat/>
    <w:uiPriority w:val="0"/>
    <w:rPr>
      <w:rFonts w:cs="Times New Roman" w:asciiTheme="majorHAnsi" w:hAnsiTheme="majorHAnsi" w:eastAsiaTheme="majorEastAsia"/>
      <w:b/>
      <w:bCs/>
      <w:kern w:val="28"/>
      <w:sz w:val="32"/>
      <w:szCs w:val="32"/>
      <w:lang w:eastAsia="en-US" w:bidi="en-US"/>
    </w:rPr>
  </w:style>
  <w:style w:type="character" w:customStyle="1" w:styleId="109">
    <w:name w:val="批注主题 字符"/>
    <w:basedOn w:val="96"/>
    <w:link w:val="74"/>
    <w:semiHidden/>
    <w:qFormat/>
    <w:uiPriority w:val="0"/>
    <w:rPr>
      <w:rFonts w:cs="Times New Roman"/>
      <w:b/>
      <w:bCs/>
      <w:kern w:val="0"/>
      <w:sz w:val="24"/>
      <w:szCs w:val="24"/>
      <w:lang w:eastAsia="en-US" w:bidi="en-US"/>
    </w:rPr>
  </w:style>
  <w:style w:type="paragraph" w:customStyle="1" w:styleId="110">
    <w:name w:val="Default"/>
    <w:link w:val="111"/>
    <w:qFormat/>
    <w:uiPriority w:val="0"/>
    <w:pPr>
      <w:widowControl w:val="0"/>
      <w:autoSpaceDE w:val="0"/>
      <w:autoSpaceDN w:val="0"/>
      <w:adjustRightInd w:val="0"/>
      <w:spacing w:after="200" w:line="276" w:lineRule="auto"/>
    </w:pPr>
    <w:rPr>
      <w:rFonts w:ascii="Arial" w:hAnsi="Arial" w:cs="Arial" w:eastAsiaTheme="minorEastAsia"/>
      <w:color w:val="000000"/>
      <w:sz w:val="24"/>
      <w:szCs w:val="24"/>
      <w:lang w:val="en-US" w:eastAsia="zh-CN" w:bidi="ar-SA"/>
    </w:rPr>
  </w:style>
  <w:style w:type="character" w:customStyle="1" w:styleId="111">
    <w:name w:val="Default Char"/>
    <w:link w:val="110"/>
    <w:qFormat/>
    <w:locked/>
    <w:uiPriority w:val="0"/>
    <w:rPr>
      <w:rFonts w:ascii="Arial" w:hAnsi="Arial" w:cs="Arial" w:eastAsiaTheme="minorEastAsia"/>
      <w:color w:val="000000"/>
      <w:sz w:val="24"/>
      <w:szCs w:val="24"/>
    </w:rPr>
  </w:style>
  <w:style w:type="paragraph" w:styleId="112">
    <w:name w:val="List Paragraph"/>
    <w:basedOn w:val="1"/>
    <w:link w:val="113"/>
    <w:qFormat/>
    <w:uiPriority w:val="34"/>
    <w:pPr>
      <w:widowControl/>
      <w:ind w:left="720"/>
      <w:contextualSpacing/>
      <w:jc w:val="left"/>
    </w:pPr>
    <w:rPr>
      <w:rFonts w:cs="Times New Roman"/>
      <w:kern w:val="0"/>
      <w:sz w:val="24"/>
      <w:szCs w:val="24"/>
      <w:lang w:eastAsia="en-US" w:bidi="en-US"/>
    </w:rPr>
  </w:style>
  <w:style w:type="character" w:customStyle="1" w:styleId="113">
    <w:name w:val="列表段落 字符"/>
    <w:link w:val="112"/>
    <w:qFormat/>
    <w:uiPriority w:val="34"/>
    <w:rPr>
      <w:rFonts w:cs="Times New Roman"/>
      <w:kern w:val="0"/>
      <w:sz w:val="24"/>
      <w:szCs w:val="24"/>
      <w:lang w:eastAsia="en-US" w:bidi="en-US"/>
    </w:rPr>
  </w:style>
  <w:style w:type="paragraph" w:customStyle="1" w:styleId="114">
    <w:name w:val="p0"/>
    <w:basedOn w:val="1"/>
    <w:qFormat/>
    <w:uiPriority w:val="99"/>
    <w:pPr>
      <w:widowControl/>
      <w:jc w:val="left"/>
    </w:pPr>
    <w:rPr>
      <w:rFonts w:ascii="Times New Roman" w:hAnsi="Times New Roman" w:cs="Times New Roman"/>
      <w:kern w:val="0"/>
      <w:sz w:val="24"/>
      <w:szCs w:val="21"/>
      <w:lang w:eastAsia="en-US" w:bidi="en-US"/>
    </w:rPr>
  </w:style>
  <w:style w:type="paragraph" w:customStyle="1" w:styleId="115">
    <w:name w:val="Char"/>
    <w:basedOn w:val="1"/>
    <w:qFormat/>
    <w:uiPriority w:val="99"/>
    <w:pPr>
      <w:widowControl/>
      <w:spacing w:after="160" w:line="240" w:lineRule="exact"/>
      <w:jc w:val="left"/>
    </w:pPr>
    <w:rPr>
      <w:rFonts w:ascii="Arial" w:hAnsi="Arial" w:cs="Verdana"/>
      <w:b/>
      <w:kern w:val="0"/>
      <w:sz w:val="24"/>
      <w:szCs w:val="20"/>
      <w:lang w:eastAsia="en-US" w:bidi="en-US"/>
    </w:rPr>
  </w:style>
  <w:style w:type="paragraph" w:customStyle="1" w:styleId="116">
    <w:name w:val="Char1 Char Char Char"/>
    <w:basedOn w:val="1"/>
    <w:qFormat/>
    <w:uiPriority w:val="99"/>
    <w:pPr>
      <w:widowControl/>
      <w:spacing w:after="160" w:line="240" w:lineRule="exact"/>
      <w:jc w:val="left"/>
    </w:pPr>
    <w:rPr>
      <w:rFonts w:ascii="Times New Roman" w:hAnsi="Times New Roman" w:cs="Times New Roman"/>
      <w:kern w:val="0"/>
      <w:sz w:val="24"/>
      <w:szCs w:val="20"/>
      <w:lang w:eastAsia="en-US" w:bidi="en-US"/>
    </w:rPr>
  </w:style>
  <w:style w:type="paragraph" w:customStyle="1" w:styleId="117">
    <w:name w:val="xl23"/>
    <w:basedOn w:val="1"/>
    <w:qFormat/>
    <w:uiPriority w:val="0"/>
    <w:pPr>
      <w:widowControl/>
      <w:spacing w:before="100" w:beforeAutospacing="1" w:after="100" w:afterAutospacing="1" w:line="360" w:lineRule="auto"/>
      <w:jc w:val="left"/>
      <w:textAlignment w:val="top"/>
    </w:pPr>
    <w:rPr>
      <w:rFonts w:ascii="Times New Roman" w:hAnsi="Times New Roman" w:cs="Times New Roman"/>
      <w:kern w:val="0"/>
      <w:sz w:val="24"/>
      <w:szCs w:val="24"/>
      <w:lang w:eastAsia="en-US" w:bidi="en-US"/>
    </w:rPr>
  </w:style>
  <w:style w:type="character" w:customStyle="1" w:styleId="118">
    <w:name w:val="纯文本 Char"/>
    <w:basedOn w:val="79"/>
    <w:qFormat/>
    <w:uiPriority w:val="0"/>
    <w:rPr>
      <w:rFonts w:ascii="宋体" w:hAnsi="Courier New" w:eastAsia="宋体" w:cs="Courier New"/>
      <w:szCs w:val="21"/>
    </w:rPr>
  </w:style>
  <w:style w:type="paragraph" w:customStyle="1" w:styleId="119">
    <w:name w:val="样式2"/>
    <w:basedOn w:val="1"/>
    <w:link w:val="120"/>
    <w:qFormat/>
    <w:uiPriority w:val="0"/>
    <w:pPr>
      <w:widowControl/>
      <w:spacing w:line="300" w:lineRule="auto"/>
      <w:jc w:val="center"/>
      <w:outlineLvl w:val="0"/>
    </w:pPr>
    <w:rPr>
      <w:rFonts w:ascii="Times New Roman" w:hAnsi="Times New Roman" w:cs="Times New Roman"/>
      <w:b/>
      <w:kern w:val="0"/>
      <w:sz w:val="24"/>
      <w:szCs w:val="24"/>
      <w:lang w:bidi="en-US"/>
    </w:rPr>
  </w:style>
  <w:style w:type="character" w:customStyle="1" w:styleId="120">
    <w:name w:val="样式2 Char"/>
    <w:link w:val="119"/>
    <w:qFormat/>
    <w:uiPriority w:val="0"/>
    <w:rPr>
      <w:rFonts w:ascii="Times New Roman" w:hAnsi="Times New Roman" w:cs="Times New Roman"/>
      <w:b/>
      <w:kern w:val="0"/>
      <w:sz w:val="24"/>
      <w:szCs w:val="24"/>
      <w:lang w:bidi="en-US"/>
    </w:rPr>
  </w:style>
  <w:style w:type="paragraph" w:styleId="121">
    <w:name w:val="No Spacing"/>
    <w:basedOn w:val="1"/>
    <w:link w:val="122"/>
    <w:qFormat/>
    <w:uiPriority w:val="1"/>
    <w:pPr>
      <w:widowControl/>
      <w:jc w:val="left"/>
    </w:pPr>
    <w:rPr>
      <w:rFonts w:cs="Times New Roman"/>
      <w:kern w:val="0"/>
      <w:sz w:val="24"/>
      <w:szCs w:val="32"/>
      <w:lang w:eastAsia="en-US" w:bidi="en-US"/>
    </w:rPr>
  </w:style>
  <w:style w:type="character" w:customStyle="1" w:styleId="122">
    <w:name w:val="无间隔 字符"/>
    <w:basedOn w:val="79"/>
    <w:link w:val="121"/>
    <w:qFormat/>
    <w:uiPriority w:val="1"/>
    <w:rPr>
      <w:rFonts w:cs="Times New Roman"/>
      <w:kern w:val="0"/>
      <w:sz w:val="24"/>
      <w:szCs w:val="32"/>
      <w:lang w:eastAsia="en-US" w:bidi="en-US"/>
    </w:rPr>
  </w:style>
  <w:style w:type="paragraph" w:styleId="123">
    <w:name w:val="Quote"/>
    <w:basedOn w:val="1"/>
    <w:next w:val="1"/>
    <w:link w:val="124"/>
    <w:qFormat/>
    <w:uiPriority w:val="29"/>
    <w:pPr>
      <w:widowControl/>
      <w:jc w:val="left"/>
    </w:pPr>
    <w:rPr>
      <w:rFonts w:cs="Times New Roman"/>
      <w:i/>
      <w:kern w:val="0"/>
      <w:sz w:val="24"/>
      <w:szCs w:val="24"/>
      <w:lang w:eastAsia="en-US" w:bidi="en-US"/>
    </w:rPr>
  </w:style>
  <w:style w:type="character" w:customStyle="1" w:styleId="124">
    <w:name w:val="引用 字符"/>
    <w:basedOn w:val="79"/>
    <w:link w:val="123"/>
    <w:qFormat/>
    <w:uiPriority w:val="29"/>
    <w:rPr>
      <w:rFonts w:cs="Times New Roman"/>
      <w:i/>
      <w:kern w:val="0"/>
      <w:sz w:val="24"/>
      <w:szCs w:val="24"/>
      <w:lang w:eastAsia="en-US" w:bidi="en-US"/>
    </w:rPr>
  </w:style>
  <w:style w:type="paragraph" w:styleId="125">
    <w:name w:val="Intense Quote"/>
    <w:basedOn w:val="1"/>
    <w:next w:val="1"/>
    <w:link w:val="126"/>
    <w:qFormat/>
    <w:uiPriority w:val="30"/>
    <w:pPr>
      <w:widowControl/>
      <w:ind w:left="720" w:right="720"/>
      <w:jc w:val="left"/>
    </w:pPr>
    <w:rPr>
      <w:rFonts w:cs="Times New Roman"/>
      <w:b/>
      <w:i/>
      <w:kern w:val="0"/>
      <w:sz w:val="24"/>
      <w:lang w:eastAsia="en-US" w:bidi="en-US"/>
    </w:rPr>
  </w:style>
  <w:style w:type="character" w:customStyle="1" w:styleId="126">
    <w:name w:val="明显引用 字符"/>
    <w:basedOn w:val="79"/>
    <w:link w:val="125"/>
    <w:qFormat/>
    <w:uiPriority w:val="30"/>
    <w:rPr>
      <w:rFonts w:cs="Times New Roman"/>
      <w:b/>
      <w:i/>
      <w:kern w:val="0"/>
      <w:sz w:val="24"/>
      <w:lang w:eastAsia="en-US" w:bidi="en-US"/>
    </w:rPr>
  </w:style>
  <w:style w:type="character" w:customStyle="1" w:styleId="12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128">
    <w:name w:val="明显强调1"/>
    <w:basedOn w:val="79"/>
    <w:qFormat/>
    <w:uiPriority w:val="21"/>
    <w:rPr>
      <w:b/>
      <w:i/>
      <w:sz w:val="24"/>
      <w:szCs w:val="24"/>
      <w:u w:val="single"/>
    </w:rPr>
  </w:style>
  <w:style w:type="character" w:customStyle="1" w:styleId="129">
    <w:name w:val="不明显参考1"/>
    <w:basedOn w:val="79"/>
    <w:qFormat/>
    <w:uiPriority w:val="31"/>
    <w:rPr>
      <w:sz w:val="24"/>
      <w:szCs w:val="24"/>
      <w:u w:val="single"/>
    </w:rPr>
  </w:style>
  <w:style w:type="character" w:customStyle="1" w:styleId="130">
    <w:name w:val="明显参考1"/>
    <w:basedOn w:val="79"/>
    <w:qFormat/>
    <w:uiPriority w:val="32"/>
    <w:rPr>
      <w:b/>
      <w:sz w:val="24"/>
      <w:u w:val="single"/>
    </w:rPr>
  </w:style>
  <w:style w:type="character" w:customStyle="1" w:styleId="131">
    <w:name w:val="书籍标题1"/>
    <w:basedOn w:val="79"/>
    <w:qFormat/>
    <w:uiPriority w:val="33"/>
    <w:rPr>
      <w:rFonts w:asciiTheme="majorHAnsi" w:hAnsiTheme="majorHAnsi" w:eastAsiaTheme="majorEastAsia"/>
      <w:b/>
      <w:i/>
      <w:sz w:val="24"/>
      <w:szCs w:val="24"/>
    </w:rPr>
  </w:style>
  <w:style w:type="paragraph" w:customStyle="1" w:styleId="132">
    <w:name w:val="TOC 标题1"/>
    <w:basedOn w:val="3"/>
    <w:next w:val="1"/>
    <w:unhideWhenUsed/>
    <w:qFormat/>
    <w:uiPriority w:val="39"/>
    <w:pPr>
      <w:outlineLvl w:val="9"/>
    </w:pPr>
    <w:rPr>
      <w:rFonts w:cs="Times New Roman"/>
    </w:rPr>
  </w:style>
  <w:style w:type="paragraph" w:customStyle="1" w:styleId="133">
    <w:name w:val="Deed_Heading"/>
    <w:basedOn w:val="1"/>
    <w:qFormat/>
    <w:uiPriority w:val="0"/>
    <w:pPr>
      <w:widowControl/>
      <w:pBdr>
        <w:top w:val="single" w:color="auto" w:sz="12" w:space="7"/>
      </w:pBdr>
      <w:spacing w:line="440" w:lineRule="exact"/>
      <w:jc w:val="left"/>
    </w:pPr>
    <w:rPr>
      <w:rFonts w:ascii="Arial Black" w:hAnsi="Arial Black" w:eastAsia="楷体_GB2312" w:cs="Times New Roman"/>
      <w:b/>
      <w:spacing w:val="-8"/>
      <w:kern w:val="0"/>
      <w:sz w:val="44"/>
      <w:szCs w:val="44"/>
      <w:lang w:eastAsia="en-US"/>
    </w:rPr>
  </w:style>
  <w:style w:type="paragraph" w:customStyle="1" w:styleId="134">
    <w:name w:val="Deed_TOC"/>
    <w:basedOn w:val="1"/>
    <w:link w:val="135"/>
    <w:qFormat/>
    <w:uiPriority w:val="0"/>
    <w:pPr>
      <w:widowControl/>
      <w:tabs>
        <w:tab w:val="left" w:pos="1134"/>
        <w:tab w:val="right" w:pos="7655"/>
      </w:tabs>
      <w:spacing w:before="240" w:after="240" w:line="260" w:lineRule="atLeast"/>
      <w:ind w:firstLine="567"/>
      <w:jc w:val="center"/>
    </w:pPr>
    <w:rPr>
      <w:rFonts w:ascii="Arial Bold" w:hAnsi="Arial Bold" w:eastAsia="楷体_GB2312" w:cs="Times New Roman"/>
      <w:b/>
      <w:bCs/>
      <w:spacing w:val="-8"/>
      <w:kern w:val="0"/>
      <w:sz w:val="28"/>
      <w:szCs w:val="28"/>
      <w:lang w:eastAsia="en-US"/>
    </w:rPr>
  </w:style>
  <w:style w:type="character" w:customStyle="1" w:styleId="135">
    <w:name w:val="Deed_TOC Char"/>
    <w:link w:val="134"/>
    <w:qFormat/>
    <w:uiPriority w:val="0"/>
    <w:rPr>
      <w:rFonts w:ascii="Arial Bold" w:hAnsi="Arial Bold" w:eastAsia="楷体_GB2312" w:cs="Times New Roman"/>
      <w:b/>
      <w:bCs/>
      <w:spacing w:val="-8"/>
      <w:kern w:val="0"/>
      <w:sz w:val="28"/>
      <w:szCs w:val="28"/>
      <w:lang w:eastAsia="en-US"/>
    </w:rPr>
  </w:style>
  <w:style w:type="character" w:customStyle="1" w:styleId="136">
    <w:name w:val="书籍标题11"/>
    <w:basedOn w:val="79"/>
    <w:qFormat/>
    <w:uiPriority w:val="33"/>
    <w:rPr>
      <w:rFonts w:ascii="Calibri" w:hAnsi="Calibri" w:eastAsia="宋体"/>
      <w:bCs/>
      <w:smallCaps/>
      <w:spacing w:val="5"/>
      <w:sz w:val="56"/>
    </w:rPr>
  </w:style>
  <w:style w:type="paragraph" w:customStyle="1" w:styleId="137">
    <w:name w:val="注释"/>
    <w:basedOn w:val="1"/>
    <w:next w:val="1"/>
    <w:qFormat/>
    <w:uiPriority w:val="0"/>
    <w:pPr>
      <w:ind w:left="200" w:leftChars="200"/>
    </w:pPr>
    <w:rPr>
      <w:b/>
      <w:szCs w:val="21"/>
    </w:rPr>
  </w:style>
  <w:style w:type="paragraph" w:customStyle="1" w:styleId="13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9">
    <w:name w:val="1."/>
    <w:basedOn w:val="1"/>
    <w:qFormat/>
    <w:uiPriority w:val="0"/>
    <w:pPr>
      <w:adjustRightInd w:val="0"/>
      <w:ind w:left="363" w:hanging="363"/>
      <w:textAlignment w:val="baseline"/>
    </w:pPr>
    <w:rPr>
      <w:rFonts w:ascii="MS Gothic" w:hAnsi="Century" w:eastAsia="MS Gothic" w:cs="Times New Roman"/>
      <w:snapToGrid w:val="0"/>
      <w:kern w:val="0"/>
      <w:sz w:val="18"/>
      <w:szCs w:val="20"/>
      <w:lang w:eastAsia="ja-JP"/>
    </w:rPr>
  </w:style>
  <w:style w:type="paragraph" w:customStyle="1" w:styleId="140">
    <w:name w:val="1.1"/>
    <w:basedOn w:val="1"/>
    <w:qFormat/>
    <w:uiPriority w:val="0"/>
    <w:pPr>
      <w:adjustRightInd w:val="0"/>
      <w:ind w:left="726" w:hanging="726"/>
      <w:textAlignment w:val="baseline"/>
    </w:pPr>
    <w:rPr>
      <w:rFonts w:ascii="MS Gothic" w:hAnsi="Century" w:eastAsia="MS Gothic" w:cs="Times New Roman"/>
      <w:snapToGrid w:val="0"/>
      <w:kern w:val="0"/>
      <w:sz w:val="18"/>
      <w:szCs w:val="20"/>
      <w:lang w:eastAsia="ja-JP"/>
    </w:rPr>
  </w:style>
  <w:style w:type="table" w:customStyle="1" w:styleId="141">
    <w:name w:val="网格型1"/>
    <w:basedOn w:val="77"/>
    <w:qFormat/>
    <w:uiPriority w:val="0"/>
    <w:rPr>
      <w:szCs w:val="21"/>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42">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4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4">
    <w:name w:val="p121"/>
    <w:qFormat/>
    <w:uiPriority w:val="0"/>
    <w:rPr>
      <w:rFonts w:hint="default"/>
      <w:sz w:val="24"/>
      <w:szCs w:val="24"/>
      <w:u w:val="none"/>
    </w:rPr>
  </w:style>
  <w:style w:type="paragraph" w:customStyle="1" w:styleId="145">
    <w:name w:val="列出段落1"/>
    <w:basedOn w:val="1"/>
    <w:qFormat/>
    <w:uiPriority w:val="34"/>
    <w:pPr>
      <w:widowControl/>
      <w:ind w:left="720"/>
      <w:contextualSpacing/>
      <w:jc w:val="left"/>
    </w:pPr>
    <w:rPr>
      <w:rFonts w:cs="Times New Roman"/>
      <w:kern w:val="0"/>
      <w:sz w:val="24"/>
      <w:szCs w:val="24"/>
      <w:lang w:eastAsia="en-US" w:bidi="en-US"/>
    </w:rPr>
  </w:style>
  <w:style w:type="paragraph" w:customStyle="1" w:styleId="146">
    <w:name w:val="M目录名称"/>
    <w:basedOn w:val="1"/>
    <w:next w:val="1"/>
    <w:qFormat/>
    <w:uiPriority w:val="0"/>
    <w:pPr>
      <w:widowControl/>
      <w:adjustRightInd w:val="0"/>
      <w:snapToGrid w:val="0"/>
      <w:spacing w:line="360" w:lineRule="auto"/>
      <w:jc w:val="center"/>
    </w:pPr>
    <w:rPr>
      <w:rFonts w:ascii="黑体" w:hAnsi="黑体" w:eastAsia="宋体" w:cs="Times New Roman"/>
      <w:bCs/>
      <w:snapToGrid w:val="0"/>
      <w:color w:val="000000"/>
      <w:spacing w:val="60"/>
      <w:kern w:val="0"/>
      <w:sz w:val="28"/>
      <w:szCs w:val="30"/>
    </w:rPr>
  </w:style>
  <w:style w:type="paragraph" w:customStyle="1" w:styleId="147">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48">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character" w:customStyle="1" w:styleId="149">
    <w:name w:val="NormalCharacter"/>
    <w:semiHidden/>
    <w:qFormat/>
    <w:uiPriority w:val="0"/>
  </w:style>
  <w:style w:type="character" w:customStyle="1" w:styleId="150">
    <w:name w:val="批注文字 字符1"/>
    <w:qFormat/>
    <w:uiPriority w:val="0"/>
    <w:rPr>
      <w:rFonts w:ascii="Times New Roman" w:hAnsi="Times New Roman"/>
      <w:kern w:val="2"/>
      <w:sz w:val="21"/>
    </w:rPr>
  </w:style>
  <w:style w:type="paragraph" w:customStyle="1" w:styleId="151">
    <w:name w:val="my正文"/>
    <w:basedOn w:val="1"/>
    <w:qFormat/>
    <w:uiPriority w:val="0"/>
    <w:pPr>
      <w:spacing w:line="360" w:lineRule="auto"/>
      <w:ind w:firstLine="200" w:firstLineChars="200"/>
    </w:pPr>
    <w:rPr>
      <w:rFonts w:ascii="Times New Roman" w:hAnsi="Times New Roman" w:eastAsia="宋体" w:cs="Times New Roman"/>
      <w:kern w:val="0"/>
      <w:sz w:val="24"/>
      <w:szCs w:val="24"/>
    </w:rPr>
  </w:style>
  <w:style w:type="paragraph" w:customStyle="1" w:styleId="152">
    <w:name w:val="rfz"/>
    <w:basedOn w:val="1"/>
    <w:qFormat/>
    <w:uiPriority w:val="0"/>
    <w:pPr>
      <w:adjustRightInd w:val="0"/>
      <w:snapToGrid w:val="0"/>
      <w:spacing w:line="360" w:lineRule="auto"/>
      <w:ind w:left="420" w:leftChars="200" w:firstLine="420" w:firstLineChars="177"/>
    </w:pPr>
    <w:rPr>
      <w:rFonts w:ascii="Times New Roman" w:hAnsi="Times New Roman" w:eastAsia="宋体" w:cs="Times New Roman"/>
      <w:kern w:val="0"/>
      <w:sz w:val="24"/>
      <w:szCs w:val="24"/>
    </w:rPr>
  </w:style>
  <w:style w:type="character" w:customStyle="1" w:styleId="153">
    <w:name w:val="正文文本首行缩进 字符"/>
    <w:basedOn w:val="97"/>
    <w:link w:val="75"/>
    <w:qFormat/>
    <w:uiPriority w:val="0"/>
    <w:rPr>
      <w:rFonts w:ascii="Times New Roman" w:hAnsi="Times New Roman" w:cs="Times New Roman"/>
      <w:kern w:val="2"/>
      <w:sz w:val="21"/>
      <w:szCs w:val="24"/>
      <w:lang w:eastAsia="en-US" w:bidi="en-US"/>
    </w:rPr>
  </w:style>
  <w:style w:type="character" w:customStyle="1" w:styleId="154">
    <w:name w:val="宏文本 字符"/>
    <w:basedOn w:val="79"/>
    <w:link w:val="2"/>
    <w:semiHidden/>
    <w:qFormat/>
    <w:uiPriority w:val="0"/>
    <w:rPr>
      <w:rFonts w:ascii="Courier New" w:hAnsi="Courier New" w:cs="Courier New"/>
      <w:kern w:val="2"/>
      <w:sz w:val="24"/>
      <w:szCs w:val="24"/>
    </w:rPr>
  </w:style>
  <w:style w:type="character" w:customStyle="1" w:styleId="155">
    <w:name w:val="注释标题 字符"/>
    <w:basedOn w:val="79"/>
    <w:link w:val="15"/>
    <w:qFormat/>
    <w:uiPriority w:val="0"/>
    <w:rPr>
      <w:kern w:val="2"/>
      <w:sz w:val="21"/>
      <w:szCs w:val="24"/>
    </w:rPr>
  </w:style>
  <w:style w:type="character" w:customStyle="1" w:styleId="156">
    <w:name w:val="电子邮件签名 字符"/>
    <w:basedOn w:val="79"/>
    <w:link w:val="17"/>
    <w:qFormat/>
    <w:uiPriority w:val="0"/>
    <w:rPr>
      <w:kern w:val="2"/>
      <w:sz w:val="21"/>
      <w:szCs w:val="24"/>
    </w:rPr>
  </w:style>
  <w:style w:type="character" w:customStyle="1" w:styleId="157">
    <w:name w:val="称呼 字符"/>
    <w:basedOn w:val="79"/>
    <w:link w:val="25"/>
    <w:qFormat/>
    <w:uiPriority w:val="0"/>
    <w:rPr>
      <w:kern w:val="2"/>
      <w:sz w:val="21"/>
      <w:szCs w:val="24"/>
    </w:rPr>
  </w:style>
  <w:style w:type="character" w:customStyle="1" w:styleId="158">
    <w:name w:val="正文文本 3 字符"/>
    <w:basedOn w:val="79"/>
    <w:link w:val="26"/>
    <w:qFormat/>
    <w:uiPriority w:val="0"/>
    <w:rPr>
      <w:kern w:val="2"/>
      <w:sz w:val="16"/>
      <w:szCs w:val="16"/>
    </w:rPr>
  </w:style>
  <w:style w:type="character" w:customStyle="1" w:styleId="159">
    <w:name w:val="结束语 字符"/>
    <w:basedOn w:val="79"/>
    <w:link w:val="27"/>
    <w:qFormat/>
    <w:uiPriority w:val="0"/>
    <w:rPr>
      <w:kern w:val="2"/>
      <w:sz w:val="21"/>
      <w:szCs w:val="24"/>
    </w:rPr>
  </w:style>
  <w:style w:type="character" w:customStyle="1" w:styleId="160">
    <w:name w:val="HTML 地址 字符"/>
    <w:basedOn w:val="79"/>
    <w:link w:val="36"/>
    <w:qFormat/>
    <w:uiPriority w:val="0"/>
    <w:rPr>
      <w:i/>
      <w:iCs/>
      <w:kern w:val="2"/>
      <w:sz w:val="21"/>
      <w:szCs w:val="24"/>
    </w:rPr>
  </w:style>
  <w:style w:type="character" w:customStyle="1" w:styleId="161">
    <w:name w:val="正文文本缩进 2 字符"/>
    <w:basedOn w:val="79"/>
    <w:link w:val="44"/>
    <w:qFormat/>
    <w:uiPriority w:val="0"/>
    <w:rPr>
      <w:rFonts w:ascii="宋体" w:hAnsi="宋体"/>
      <w:b/>
      <w:bCs/>
      <w:color w:val="000000"/>
      <w:kern w:val="2"/>
      <w:sz w:val="21"/>
      <w:szCs w:val="24"/>
    </w:rPr>
  </w:style>
  <w:style w:type="character" w:customStyle="1" w:styleId="162">
    <w:name w:val="尾注文本 字符"/>
    <w:basedOn w:val="79"/>
    <w:link w:val="45"/>
    <w:semiHidden/>
    <w:qFormat/>
    <w:uiPriority w:val="0"/>
    <w:rPr>
      <w:kern w:val="2"/>
      <w:sz w:val="21"/>
      <w:szCs w:val="24"/>
    </w:rPr>
  </w:style>
  <w:style w:type="character" w:customStyle="1" w:styleId="163">
    <w:name w:val="正文文本首行缩进 2 字符"/>
    <w:basedOn w:val="98"/>
    <w:link w:val="76"/>
    <w:qFormat/>
    <w:uiPriority w:val="0"/>
    <w:rPr>
      <w:rFonts w:ascii="Times New Roman" w:hAnsi="Times New Roman" w:cs="Times New Roman"/>
      <w:kern w:val="2"/>
      <w:sz w:val="21"/>
      <w:szCs w:val="24"/>
      <w:lang w:eastAsia="en-US" w:bidi="en-US"/>
    </w:rPr>
  </w:style>
  <w:style w:type="character" w:customStyle="1" w:styleId="164">
    <w:name w:val="签名 字符"/>
    <w:basedOn w:val="79"/>
    <w:link w:val="51"/>
    <w:qFormat/>
    <w:uiPriority w:val="0"/>
    <w:rPr>
      <w:kern w:val="2"/>
      <w:sz w:val="21"/>
      <w:szCs w:val="24"/>
    </w:rPr>
  </w:style>
  <w:style w:type="character" w:customStyle="1" w:styleId="165">
    <w:name w:val="信息标题 字符"/>
    <w:basedOn w:val="79"/>
    <w:link w:val="67"/>
    <w:qFormat/>
    <w:uiPriority w:val="0"/>
    <w:rPr>
      <w:rFonts w:ascii="Arial" w:hAnsi="Arial" w:cs="Arial"/>
      <w:kern w:val="2"/>
      <w:sz w:val="24"/>
      <w:szCs w:val="24"/>
      <w:shd w:val="pct20" w:color="auto" w:fill="auto"/>
    </w:rPr>
  </w:style>
  <w:style w:type="character" w:customStyle="1" w:styleId="166">
    <w:name w:val="HTML 预设格式 字符"/>
    <w:basedOn w:val="79"/>
    <w:link w:val="68"/>
    <w:qFormat/>
    <w:uiPriority w:val="0"/>
    <w:rPr>
      <w:rFonts w:ascii="Courier New" w:hAnsi="Courier New" w:cs="Courier New"/>
      <w:kern w:val="2"/>
    </w:rPr>
  </w:style>
  <w:style w:type="character" w:customStyle="1" w:styleId="167">
    <w:name w:val="highlight1"/>
    <w:qFormat/>
    <w:uiPriority w:val="0"/>
    <w:rPr>
      <w:shd w:val="clear" w:color="auto" w:fill="FFFF00"/>
    </w:rPr>
  </w:style>
  <w:style w:type="paragraph" w:customStyle="1" w:styleId="168">
    <w:name w:val="样式 宋体 小一 加粗 黑色 居中"/>
    <w:basedOn w:val="1"/>
    <w:qFormat/>
    <w:uiPriority w:val="0"/>
    <w:pPr>
      <w:jc w:val="center"/>
    </w:pPr>
    <w:rPr>
      <w:rFonts w:ascii="宋体" w:hAnsi="宋体" w:eastAsia="宋体" w:cs="宋体"/>
      <w:b/>
      <w:bCs/>
      <w:color w:val="000000"/>
      <w:sz w:val="48"/>
      <w:szCs w:val="20"/>
    </w:rPr>
  </w:style>
  <w:style w:type="paragraph" w:customStyle="1" w:styleId="169">
    <w:name w:val="_Style 14"/>
    <w:basedOn w:val="1"/>
    <w:qFormat/>
    <w:uiPriority w:val="0"/>
    <w:rPr>
      <w:rFonts w:ascii="Times New Roman" w:hAnsi="Times New Roman" w:eastAsia="宋体" w:cs="Times New Roman"/>
    </w:rPr>
  </w:style>
  <w:style w:type="paragraph" w:customStyle="1" w:styleId="170">
    <w:name w:val="列出段落11"/>
    <w:basedOn w:val="1"/>
    <w:qFormat/>
    <w:uiPriority w:val="0"/>
    <w:pPr>
      <w:ind w:firstLine="420" w:firstLineChars="200"/>
    </w:pPr>
    <w:rPr>
      <w:rFonts w:ascii="Times New Roman" w:hAnsi="Times New Roman" w:eastAsia="宋体" w:cs="Times New Roman"/>
      <w:szCs w:val="24"/>
    </w:rPr>
  </w:style>
  <w:style w:type="character" w:customStyle="1" w:styleId="171">
    <w:name w:val="fontstyle01"/>
    <w:basedOn w:val="79"/>
    <w:qFormat/>
    <w:uiPriority w:val="0"/>
    <w:rPr>
      <w:rFonts w:hint="default" w:ascii="Times New Roman" w:hAnsi="Times New Roman" w:cs="Times New Roman"/>
      <w:color w:val="000000"/>
      <w:sz w:val="24"/>
      <w:szCs w:val="24"/>
    </w:rPr>
  </w:style>
  <w:style w:type="character" w:customStyle="1" w:styleId="172">
    <w:name w:val="fontstyle21"/>
    <w:basedOn w:val="79"/>
    <w:qFormat/>
    <w:uiPriority w:val="0"/>
    <w:rPr>
      <w:rFonts w:hint="eastAsia" w:ascii="宋体" w:hAnsi="宋体" w:eastAsia="宋体"/>
      <w:color w:val="000000"/>
      <w:sz w:val="24"/>
      <w:szCs w:val="24"/>
    </w:rPr>
  </w:style>
  <w:style w:type="paragraph" w:customStyle="1" w:styleId="173">
    <w:name w:val="列出段落2"/>
    <w:basedOn w:val="1"/>
    <w:unhideWhenUsed/>
    <w:qFormat/>
    <w:uiPriority w:val="99"/>
    <w:pPr>
      <w:ind w:firstLine="420" w:firstLineChars="200"/>
    </w:pPr>
    <w:rPr>
      <w:rFonts w:ascii="Times New Roman" w:hAnsi="Times New Roman" w:eastAsia="宋体" w:cs="Times New Roman"/>
      <w:szCs w:val="24"/>
    </w:rPr>
  </w:style>
  <w:style w:type="paragraph" w:customStyle="1" w:styleId="174">
    <w:name w:val="Angebot"/>
    <w:basedOn w:val="1"/>
    <w:qFormat/>
    <w:uiPriority w:val="0"/>
    <w:pPr>
      <w:autoSpaceDE w:val="0"/>
      <w:autoSpaceDN w:val="0"/>
      <w:adjustRightInd w:val="0"/>
      <w:textAlignment w:val="baseline"/>
    </w:pPr>
    <w:rPr>
      <w:rFonts w:ascii="Century Gothic" w:hAnsi="Century Gothic" w:eastAsia="宋体" w:cs="Times New Roman"/>
      <w:kern w:val="0"/>
      <w:sz w:val="20"/>
      <w:szCs w:val="20"/>
    </w:rPr>
  </w:style>
  <w:style w:type="paragraph" w:customStyle="1" w:styleId="175">
    <w:name w:val="1"/>
    <w:basedOn w:val="1"/>
    <w:qFormat/>
    <w:uiPriority w:val="0"/>
    <w:rPr>
      <w:rFonts w:ascii="Tahoma" w:hAnsi="Tahoma" w:eastAsia="宋体" w:cs="Times New Roman"/>
      <w:sz w:val="24"/>
      <w:szCs w:val="20"/>
    </w:rPr>
  </w:style>
  <w:style w:type="paragraph" w:customStyle="1" w:styleId="176">
    <w:name w:val="Char Char Char Char"/>
    <w:basedOn w:val="1"/>
    <w:qFormat/>
    <w:uiPriority w:val="0"/>
    <w:rPr>
      <w:rFonts w:ascii="Tahoma" w:hAnsi="Tahoma" w:eastAsia="宋体" w:cs="Times New Roman"/>
      <w:sz w:val="24"/>
      <w:szCs w:val="20"/>
    </w:rPr>
  </w:style>
  <w:style w:type="paragraph" w:customStyle="1" w:styleId="177">
    <w:name w:val="Char Char Char Char1"/>
    <w:basedOn w:val="1"/>
    <w:qFormat/>
    <w:uiPriority w:val="0"/>
    <w:rPr>
      <w:rFonts w:ascii="Tahoma" w:hAnsi="Tahoma" w:eastAsia="宋体" w:cs="Times New Roman"/>
      <w:sz w:val="24"/>
      <w:szCs w:val="20"/>
    </w:rPr>
  </w:style>
  <w:style w:type="character" w:customStyle="1" w:styleId="178">
    <w:name w:val="short_text1"/>
    <w:qFormat/>
    <w:uiPriority w:val="0"/>
    <w:rPr>
      <w:sz w:val="29"/>
      <w:szCs w:val="29"/>
    </w:rPr>
  </w:style>
  <w:style w:type="paragraph" w:customStyle="1" w:styleId="179">
    <w:name w:val="Char Char Char"/>
    <w:basedOn w:val="1"/>
    <w:qFormat/>
    <w:uiPriority w:val="0"/>
    <w:rPr>
      <w:rFonts w:ascii="Tahoma" w:hAnsi="Tahoma" w:eastAsia="宋体" w:cs="Times New Roman"/>
      <w:sz w:val="24"/>
      <w:szCs w:val="20"/>
    </w:rPr>
  </w:style>
  <w:style w:type="paragraph" w:customStyle="1" w:styleId="180">
    <w:name w:val="Char Char Char Char Char Char Char Char Char Char"/>
    <w:basedOn w:val="1"/>
    <w:qFormat/>
    <w:uiPriority w:val="0"/>
    <w:rPr>
      <w:rFonts w:ascii="Tahoma" w:hAnsi="Tahoma" w:eastAsia="宋体" w:cs="Times New Roman"/>
      <w:sz w:val="24"/>
      <w:szCs w:val="20"/>
    </w:rPr>
  </w:style>
  <w:style w:type="character" w:customStyle="1" w:styleId="181">
    <w:name w:val="long_text1"/>
    <w:qFormat/>
    <w:uiPriority w:val="0"/>
    <w:rPr>
      <w:sz w:val="20"/>
      <w:szCs w:val="20"/>
    </w:rPr>
  </w:style>
  <w:style w:type="character" w:customStyle="1" w:styleId="182">
    <w:name w:val="dct-tt"/>
    <w:qFormat/>
    <w:uiPriority w:val="0"/>
    <w:rPr>
      <w:rFonts w:hint="default" w:ascii="Arial" w:hAnsi="Arial" w:cs="Arial"/>
    </w:rPr>
  </w:style>
  <w:style w:type="character" w:customStyle="1" w:styleId="183">
    <w:name w:val="medium_text1"/>
    <w:qFormat/>
    <w:uiPriority w:val="0"/>
    <w:rPr>
      <w:sz w:val="24"/>
      <w:szCs w:val="24"/>
    </w:rPr>
  </w:style>
  <w:style w:type="character" w:customStyle="1" w:styleId="184">
    <w:name w:val="wbtr_mn1"/>
    <w:qFormat/>
    <w:uiPriority w:val="0"/>
    <w:rPr>
      <w:rFonts w:hint="default" w:ascii="Arial" w:hAnsi="Arial" w:cs="Arial"/>
      <w:sz w:val="24"/>
      <w:szCs w:val="24"/>
    </w:rPr>
  </w:style>
  <w:style w:type="character" w:customStyle="1" w:styleId="185">
    <w:name w:val="gt-icon-text1"/>
    <w:basedOn w:val="79"/>
    <w:qFormat/>
    <w:uiPriority w:val="0"/>
  </w:style>
  <w:style w:type="character" w:customStyle="1" w:styleId="186">
    <w:name w:val="long_text"/>
    <w:basedOn w:val="79"/>
    <w:qFormat/>
    <w:uiPriority w:val="0"/>
  </w:style>
  <w:style w:type="character" w:customStyle="1" w:styleId="187">
    <w:name w:val="short_text"/>
    <w:basedOn w:val="79"/>
    <w:qFormat/>
    <w:uiPriority w:val="0"/>
  </w:style>
  <w:style w:type="character" w:customStyle="1" w:styleId="188">
    <w:name w:val="apple-style-span"/>
    <w:basedOn w:val="79"/>
    <w:qFormat/>
    <w:uiPriority w:val="0"/>
  </w:style>
  <w:style w:type="character" w:customStyle="1" w:styleId="189">
    <w:name w:val="apple-converted-space"/>
    <w:basedOn w:val="79"/>
    <w:qFormat/>
    <w:uiPriority w:val="0"/>
  </w:style>
  <w:style w:type="character" w:customStyle="1" w:styleId="190">
    <w:name w:val="webdict1"/>
    <w:qFormat/>
    <w:uiPriority w:val="0"/>
    <w:rPr>
      <w:b/>
      <w:bCs/>
    </w:rPr>
  </w:style>
  <w:style w:type="character" w:customStyle="1" w:styleId="191">
    <w:name w:val="trans"/>
    <w:basedOn w:val="79"/>
    <w:qFormat/>
    <w:uiPriority w:val="0"/>
  </w:style>
  <w:style w:type="paragraph" w:customStyle="1" w:styleId="192">
    <w:name w:val="목록 단락1"/>
    <w:basedOn w:val="1"/>
    <w:qFormat/>
    <w:uiPriority w:val="0"/>
    <w:pPr>
      <w:ind w:firstLine="420" w:firstLineChars="200"/>
    </w:pPr>
    <w:rPr>
      <w:rFonts w:ascii="Times New Roman" w:hAnsi="Times New Roman" w:eastAsia="宋体" w:cs="Times New Roman"/>
      <w:szCs w:val="24"/>
    </w:rPr>
  </w:style>
  <w:style w:type="paragraph" w:customStyle="1" w:styleId="193">
    <w:name w:val="Char Char Char Char Char Char Char Char Char Char Char Char Char Char"/>
    <w:basedOn w:val="1"/>
    <w:qFormat/>
    <w:uiPriority w:val="0"/>
    <w:rPr>
      <w:rFonts w:ascii="Tahoma" w:hAnsi="Tahoma" w:eastAsia="宋体" w:cs="Times New Roman"/>
      <w:sz w:val="24"/>
      <w:szCs w:val="20"/>
    </w:rPr>
  </w:style>
  <w:style w:type="character" w:customStyle="1" w:styleId="194">
    <w:name w:val="copied"/>
    <w:basedOn w:val="79"/>
    <w:qFormat/>
    <w:uiPriority w:val="0"/>
  </w:style>
  <w:style w:type="character" w:customStyle="1" w:styleId="195">
    <w:name w:val="hps"/>
    <w:qFormat/>
    <w:uiPriority w:val="0"/>
  </w:style>
  <w:style w:type="character" w:customStyle="1" w:styleId="196">
    <w:name w:val="鮮明強調"/>
    <w:qFormat/>
    <w:uiPriority w:val="21"/>
    <w:rPr>
      <w:i/>
      <w:iCs/>
      <w:color w:val="5B9BD5"/>
    </w:rPr>
  </w:style>
  <w:style w:type="character" w:customStyle="1" w:styleId="197">
    <w:name w:val="區別強調"/>
    <w:qFormat/>
    <w:uiPriority w:val="19"/>
    <w:rPr>
      <w:i/>
      <w:iCs/>
      <w:color w:val="404040"/>
    </w:rPr>
  </w:style>
  <w:style w:type="character" w:customStyle="1" w:styleId="198">
    <w:name w:val="标题 Char1"/>
    <w:basedOn w:val="79"/>
    <w:qFormat/>
    <w:uiPriority w:val="0"/>
    <w:rPr>
      <w:rFonts w:asciiTheme="majorHAnsi" w:hAnsiTheme="majorHAnsi" w:cstheme="majorBidi"/>
      <w:b/>
      <w:bCs/>
      <w:kern w:val="2"/>
      <w:sz w:val="32"/>
      <w:szCs w:val="32"/>
    </w:rPr>
  </w:style>
  <w:style w:type="character" w:customStyle="1" w:styleId="199">
    <w:name w:val="副标题 Char1"/>
    <w:basedOn w:val="79"/>
    <w:qFormat/>
    <w:uiPriority w:val="0"/>
    <w:rPr>
      <w:rFonts w:asciiTheme="majorHAnsi" w:hAnsiTheme="majorHAnsi" w:cstheme="majorBidi"/>
      <w:b/>
      <w:bCs/>
      <w:kern w:val="28"/>
      <w:sz w:val="32"/>
      <w:szCs w:val="32"/>
    </w:rPr>
  </w:style>
  <w:style w:type="paragraph" w:customStyle="1" w:styleId="200">
    <w:name w:val="_Style 4"/>
    <w:basedOn w:val="1"/>
    <w:qFormat/>
    <w:uiPriority w:val="0"/>
    <w:pPr>
      <w:spacing w:line="276" w:lineRule="auto"/>
      <w:ind w:firstLine="420" w:firstLineChars="200"/>
    </w:pPr>
    <w:rPr>
      <w:rFonts w:ascii="Calibri" w:hAnsi="Calibri" w:eastAsia="宋体" w:cs="Times New Roman"/>
    </w:rPr>
  </w:style>
  <w:style w:type="paragraph" w:customStyle="1" w:styleId="201">
    <w:name w:val="无间隔1"/>
    <w:qFormat/>
    <w:uiPriority w:val="1"/>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02">
    <w:name w:val=".."/>
    <w:basedOn w:val="1"/>
    <w:next w:val="1"/>
    <w:qFormat/>
    <w:uiPriority w:val="0"/>
    <w:pPr>
      <w:autoSpaceDE w:val="0"/>
      <w:autoSpaceDN w:val="0"/>
      <w:adjustRightInd w:val="0"/>
      <w:jc w:val="left"/>
    </w:pPr>
    <w:rPr>
      <w:rFonts w:ascii="Times New Roman" w:hAnsi="Times New Roman" w:eastAsia="宋体" w:cs="Times New Roman"/>
      <w:kern w:val="0"/>
      <w:sz w:val="24"/>
      <w:szCs w:val="24"/>
    </w:rPr>
  </w:style>
  <w:style w:type="paragraph" w:customStyle="1" w:styleId="203">
    <w:name w:val="清單段落"/>
    <w:basedOn w:val="1"/>
    <w:qFormat/>
    <w:uiPriority w:val="34"/>
    <w:pPr>
      <w:ind w:firstLine="420" w:firstLineChars="200"/>
    </w:pPr>
    <w:rPr>
      <w:rFonts w:ascii="Times New Roman" w:hAnsi="Times New Roman" w:eastAsia="宋体" w:cs="Times New Roman"/>
    </w:rPr>
  </w:style>
  <w:style w:type="paragraph" w:customStyle="1" w:styleId="204">
    <w:name w:val="Normal_0"/>
    <w:qFormat/>
    <w:uiPriority w:val="0"/>
    <w:pPr>
      <w:spacing w:before="120" w:after="240"/>
      <w:jc w:val="both"/>
    </w:pPr>
    <w:rPr>
      <w:rFonts w:ascii="Calibri" w:hAnsi="Calibri" w:eastAsia="宋体" w:cs="Times New Roman"/>
      <w:sz w:val="22"/>
      <w:szCs w:val="22"/>
      <w:lang w:val="en-US" w:eastAsia="en-US" w:bidi="ar-SA"/>
    </w:rPr>
  </w:style>
  <w:style w:type="paragraph" w:customStyle="1" w:styleId="205">
    <w:name w:val="Normal_27_0"/>
    <w:qFormat/>
    <w:uiPriority w:val="0"/>
    <w:pPr>
      <w:spacing w:before="120" w:after="240"/>
      <w:jc w:val="both"/>
    </w:pPr>
    <w:rPr>
      <w:rFonts w:ascii="Calibri" w:hAnsi="Calibri" w:eastAsia="宋体" w:cs="Times New Roman"/>
      <w:sz w:val="22"/>
      <w:szCs w:val="22"/>
      <w:lang w:val="en-US" w:eastAsia="en-US" w:bidi="ar-SA"/>
    </w:rPr>
  </w:style>
  <w:style w:type="paragraph" w:customStyle="1" w:styleId="206">
    <w:name w:val="Normal_25"/>
    <w:qFormat/>
    <w:uiPriority w:val="0"/>
    <w:pPr>
      <w:spacing w:before="120" w:after="240"/>
      <w:jc w:val="both"/>
    </w:pPr>
    <w:rPr>
      <w:rFonts w:asciiTheme="minorHAnsi" w:hAnsiTheme="minorHAnsi" w:eastAsiaTheme="minorEastAsia" w:cstheme="minorBidi"/>
      <w:sz w:val="22"/>
      <w:szCs w:val="22"/>
      <w:lang w:val="en-US" w:eastAsia="en-US" w:bidi="ar-SA"/>
    </w:rPr>
  </w:style>
  <w:style w:type="paragraph" w:customStyle="1" w:styleId="207">
    <w:name w:val="Normal_31"/>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customStyle="1" w:styleId="208">
    <w:name w:val="页眉 字符"/>
    <w:qFormat/>
    <w:uiPriority w:val="99"/>
    <w:rPr>
      <w:kern w:val="2"/>
      <w:sz w:val="18"/>
      <w:szCs w:val="18"/>
      <w:lang w:eastAsia="zh-CN"/>
    </w:rPr>
  </w:style>
  <w:style w:type="character" w:customStyle="1" w:styleId="209">
    <w:name w:val="页脚 字符"/>
    <w:qFormat/>
    <w:uiPriority w:val="99"/>
    <w:rPr>
      <w:kern w:val="2"/>
      <w:sz w:val="18"/>
      <w:szCs w:val="18"/>
      <w:lang w:eastAsia="zh-CN"/>
    </w:rPr>
  </w:style>
  <w:style w:type="paragraph" w:customStyle="1" w:styleId="210">
    <w:name w:val="List Paragraph1"/>
    <w:basedOn w:val="1"/>
    <w:qFormat/>
    <w:uiPriority w:val="34"/>
    <w:pPr>
      <w:autoSpaceDE w:val="0"/>
      <w:autoSpaceDN w:val="0"/>
      <w:ind w:left="800" w:leftChars="400"/>
    </w:pPr>
    <w:rPr>
      <w:rFonts w:ascii="Malgun Gothic" w:hAnsi="Malgun Gothic" w:eastAsia="Malgun Gothic"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28EDBC-1131-4439-8B64-218B0820E4C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237</Words>
  <Characters>245</Characters>
  <Lines>124</Lines>
  <Paragraphs>35</Paragraphs>
  <TotalTime>3</TotalTime>
  <ScaleCrop>false</ScaleCrop>
  <LinksUpToDate>false</LinksUpToDate>
  <CharactersWithSpaces>255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2019-01-24T02:39:00Z</dcterms:created>
  <dc:creator>王广利</dc:creator>
  <cp:lastModifiedBy>tornya</cp:lastModifiedBy>
  <cp:lastPrinted>2016-11-24T06:57:00Z</cp:lastPrinted>
  <dcterms:modified xsi:type="dcterms:W3CDTF">2026-10-29T03:10:37Z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DBD01AFA26AB48DA88FD6A2CBB1D7F87_13</vt:lpwstr>
  </property>
  <property fmtid="{D5CDD505-2E9C-101B-9397-08002B2CF9AE}" pid="4" name="KSOTemplateDocerSaveRecord">
    <vt:lpwstr>eyJoZGlkIjoiY2U5YmYyYWJlZjg4MjA0OWYzMzI4MTg0ZmI3YjRiNmIiLCJ1c2VySWQiOiIzMDU3NjA3NDUifQ==</vt:lpwstr>
  </property>
</Properties>
</file>